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38D" w:rsidRDefault="0080538D" w:rsidP="00482AF6">
      <w:pPr>
        <w:widowControl w:val="0"/>
        <w:autoSpaceDE w:val="0"/>
        <w:autoSpaceDN w:val="0"/>
        <w:adjustRightInd w:val="0"/>
        <w:spacing w:after="0" w:line="240" w:lineRule="auto"/>
        <w:ind w:firstLine="709"/>
        <w:contextualSpacing/>
        <w:jc w:val="center"/>
        <w:rPr>
          <w:rFonts w:ascii="Times New Roman" w:hAnsi="Times New Roman"/>
          <w:b/>
          <w:sz w:val="28"/>
          <w:szCs w:val="20"/>
          <w:lang w:eastAsia="en-US"/>
        </w:rPr>
      </w:pPr>
      <w:r w:rsidRPr="006A3C7B">
        <w:rPr>
          <w:rFonts w:ascii="Times New Roman" w:hAnsi="Times New Roman"/>
          <w:b/>
          <w:sz w:val="28"/>
          <w:szCs w:val="20"/>
          <w:lang w:eastAsia="en-US"/>
        </w:rPr>
        <w:t xml:space="preserve">ПРИЛОЖЕНИЕ </w:t>
      </w:r>
      <w:r>
        <w:rPr>
          <w:rFonts w:ascii="Times New Roman" w:hAnsi="Times New Roman"/>
          <w:b/>
          <w:sz w:val="28"/>
          <w:szCs w:val="20"/>
          <w:lang w:eastAsia="en-US"/>
        </w:rPr>
        <w:t>2</w:t>
      </w:r>
    </w:p>
    <w:p w:rsidR="0080538D" w:rsidRDefault="0080538D" w:rsidP="00482AF6">
      <w:pPr>
        <w:widowControl w:val="0"/>
        <w:autoSpaceDE w:val="0"/>
        <w:autoSpaceDN w:val="0"/>
        <w:adjustRightInd w:val="0"/>
        <w:spacing w:after="0" w:line="240" w:lineRule="auto"/>
        <w:ind w:firstLine="709"/>
        <w:contextualSpacing/>
        <w:jc w:val="center"/>
        <w:rPr>
          <w:rFonts w:ascii="Times New Roman" w:hAnsi="Times New Roman"/>
          <w:b/>
          <w:sz w:val="28"/>
          <w:szCs w:val="20"/>
          <w:lang w:eastAsia="en-US"/>
        </w:rPr>
      </w:pPr>
      <w:r w:rsidRPr="006A3C7B">
        <w:rPr>
          <w:rFonts w:ascii="Times New Roman" w:hAnsi="Times New Roman"/>
          <w:b/>
          <w:sz w:val="28"/>
          <w:szCs w:val="20"/>
          <w:lang w:eastAsia="en-US"/>
        </w:rPr>
        <w:t>Потенциал развития промышленного производств территорий по видам промышленной политики</w:t>
      </w:r>
    </w:p>
    <w:p w:rsidR="0080538D" w:rsidRPr="006A3C7B" w:rsidRDefault="0080538D" w:rsidP="006A3C7B">
      <w:pPr>
        <w:widowControl w:val="0"/>
        <w:autoSpaceDE w:val="0"/>
        <w:autoSpaceDN w:val="0"/>
        <w:adjustRightInd w:val="0"/>
        <w:spacing w:after="0" w:line="240" w:lineRule="auto"/>
        <w:ind w:firstLine="709"/>
        <w:contextualSpacing/>
        <w:jc w:val="both"/>
        <w:rPr>
          <w:rFonts w:ascii="Times New Roman" w:hAnsi="Times New Roman"/>
          <w:b/>
          <w:sz w:val="28"/>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4"/>
        <w:gridCol w:w="3854"/>
        <w:gridCol w:w="3854"/>
        <w:gridCol w:w="3855"/>
      </w:tblGrid>
      <w:tr w:rsidR="0080538D" w:rsidRPr="00D10C4F" w:rsidTr="00D10C4F">
        <w:tc>
          <w:tcPr>
            <w:tcW w:w="3854" w:type="dxa"/>
            <w:tcBorders>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Вклад в промышленный комплекс и экономику    региона</w:t>
            </w:r>
          </w:p>
        </w:tc>
        <w:tc>
          <w:tcPr>
            <w:tcW w:w="3854" w:type="dxa"/>
            <w:tcBorders>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Потенциальные             возможности и риски</w:t>
            </w:r>
          </w:p>
        </w:tc>
        <w:tc>
          <w:tcPr>
            <w:tcW w:w="3854" w:type="dxa"/>
            <w:tcBorders>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Политика импортозамещения и экспортно-ориентирования</w:t>
            </w:r>
          </w:p>
        </w:tc>
        <w:tc>
          <w:tcPr>
            <w:tcW w:w="3855" w:type="dxa"/>
            <w:tcBorders>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Политика инновационного</w:t>
            </w:r>
          </w:p>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развития</w:t>
            </w:r>
          </w:p>
        </w:tc>
      </w:tr>
      <w:tr w:rsidR="0080538D" w:rsidRPr="00D10C4F" w:rsidTr="00D10C4F">
        <w:trPr>
          <w:trHeight w:val="7465"/>
        </w:trPr>
        <w:tc>
          <w:tcPr>
            <w:tcW w:w="3854" w:type="dxa"/>
            <w:tcBorders>
              <w:top w:val="double" w:sz="4" w:space="0" w:color="auto"/>
              <w:bottom w:val="single" w:sz="4" w:space="0" w:color="auto"/>
            </w:tcBorders>
          </w:tcPr>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Нефтегазовый комплекс</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ВЭД:</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Раздел С. Добыча полезных ископаемых. (Подраздел СА. Добыча топливно-энергетических полезных ископаемых. Вид деятельности: 11.1. Добыча сырой нефти и природного газа); </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Раздел D. Обрабатывающие производства. (Подраздел DF. Производство кокса, нефтепродуктов и ядерных материалов. Вид деятельности: 23.1. Производство нефтепродуктов).</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i/>
                <w:sz w:val="24"/>
                <w:szCs w:val="24"/>
              </w:rPr>
              <w:t>Вклад:</w:t>
            </w:r>
            <w:r w:rsidRPr="00D10C4F">
              <w:rPr>
                <w:rFonts w:ascii="Times New Roman" w:hAnsi="Times New Roman"/>
                <w:sz w:val="24"/>
                <w:szCs w:val="24"/>
              </w:rPr>
              <w:t xml:space="preserve"> Доля нефтегазового комплекса (НГК) в структуре промышленного производства края составляет 25,7% и обеспечивает занятость более чем 7,6 тыс. чел. (0,53% от общей численности занятых в экономике края). Вклад края в общероссийское производство составляет 4% по добыче нефти, 3% по нефтепереработке, 0,5% по добыче газа.</w:t>
            </w:r>
          </w:p>
        </w:tc>
        <w:tc>
          <w:tcPr>
            <w:tcW w:w="3854" w:type="dxa"/>
            <w:tcBorders>
              <w:top w:val="double" w:sz="4" w:space="0" w:color="auto"/>
              <w:bottom w:val="single" w:sz="4" w:space="0" w:color="auto"/>
            </w:tcBorders>
          </w:tcPr>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Возможности: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1. Вследствие своего выгодного географического местоположения в зоне влияния трубопроводной системы Восточная Сибирь – Тихий океан (ВСТО) </w:t>
            </w:r>
            <w:r w:rsidRPr="00D10C4F">
              <w:rPr>
                <w:rFonts w:ascii="Times New Roman" w:hAnsi="Times New Roman"/>
                <w:b/>
                <w:sz w:val="24"/>
                <w:szCs w:val="24"/>
              </w:rPr>
              <w:t>Красноярский край</w:t>
            </w:r>
            <w:r w:rsidRPr="00D10C4F">
              <w:rPr>
                <w:rFonts w:ascii="Times New Roman" w:hAnsi="Times New Roman"/>
                <w:sz w:val="24"/>
                <w:szCs w:val="24"/>
              </w:rPr>
              <w:t xml:space="preserve"> может стать </w:t>
            </w:r>
            <w:r w:rsidRPr="00D10C4F">
              <w:rPr>
                <w:rFonts w:ascii="Times New Roman" w:hAnsi="Times New Roman"/>
                <w:b/>
                <w:sz w:val="24"/>
                <w:szCs w:val="24"/>
              </w:rPr>
              <w:t>важным элементом единой системы добычи, транспортировки нефти и газа с экспортной ориентацией на рынки стран АТР</w:t>
            </w:r>
            <w:r w:rsidRPr="00D10C4F">
              <w:rPr>
                <w:rFonts w:ascii="Times New Roman" w:hAnsi="Times New Roman"/>
                <w:sz w:val="24"/>
                <w:szCs w:val="24"/>
              </w:rPr>
              <w:t>.</w:t>
            </w:r>
          </w:p>
          <w:p w:rsidR="0080538D" w:rsidRPr="00D10C4F" w:rsidRDefault="0080538D" w:rsidP="00D10C4F">
            <w:pPr>
              <w:spacing w:after="0" w:line="240" w:lineRule="auto"/>
              <w:jc w:val="both"/>
              <w:rPr>
                <w:rFonts w:ascii="Times New Roman" w:hAnsi="Times New Roman"/>
                <w:i/>
                <w:sz w:val="24"/>
                <w:szCs w:val="24"/>
              </w:rPr>
            </w:pPr>
            <w:r w:rsidRPr="00D10C4F">
              <w:rPr>
                <w:rFonts w:ascii="Times New Roman" w:hAnsi="Times New Roman"/>
                <w:i/>
                <w:sz w:val="24"/>
                <w:szCs w:val="24"/>
              </w:rPr>
              <w:t xml:space="preserve">2. Два крупных центра развития нефтяной и газовой промышленности </w:t>
            </w:r>
            <w:r w:rsidRPr="00D10C4F">
              <w:rPr>
                <w:rFonts w:ascii="Times New Roman" w:hAnsi="Times New Roman"/>
                <w:b/>
                <w:i/>
                <w:sz w:val="24"/>
                <w:szCs w:val="24"/>
              </w:rPr>
              <w:t>федерального уровня значимости</w:t>
            </w:r>
            <w:r w:rsidRPr="00D10C4F">
              <w:rPr>
                <w:rFonts w:ascii="Times New Roman" w:hAnsi="Times New Roman"/>
                <w:i/>
                <w:sz w:val="24"/>
                <w:szCs w:val="24"/>
              </w:rPr>
              <w:t xml:space="preserve"> – Северо–Западный и Приангарский.</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sz w:val="24"/>
                <w:szCs w:val="24"/>
              </w:rPr>
              <w:t>Северо–Западный центр</w:t>
            </w:r>
            <w:r w:rsidRPr="00D10C4F">
              <w:rPr>
                <w:rFonts w:ascii="Times New Roman" w:hAnsi="Times New Roman"/>
                <w:sz w:val="24"/>
                <w:szCs w:val="24"/>
              </w:rPr>
              <w:t xml:space="preserve"> рас-положен на территории Туру-ханского и Таймырского районов. Базовыми для этого центра являются Ванкорское, Тагульское и Сузунское нефтяные месторождения, а также газовые месторождения – Пеляткинское, Дерябинское, Солененское, Мессояхское.</w:t>
            </w:r>
          </w:p>
        </w:tc>
        <w:tc>
          <w:tcPr>
            <w:tcW w:w="3854" w:type="dxa"/>
            <w:tcBorders>
              <w:top w:val="double" w:sz="4" w:space="0" w:color="auto"/>
              <w:bottom w:val="single" w:sz="4" w:space="0" w:color="auto"/>
            </w:tcBorders>
          </w:tcPr>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Развитие сектора нефтепереработке:</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на Ачинском НПЗ предусмотрен переход на производство практически всей продукции в соответствиями с требованиями класса 5 и включающей строительство комплексов гидрокрекинга и производства нефтяного кокса, а также сооружение и реконструкцию ряда объектов общезаводского хозяйства.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Обновленное производство позволит предприятию не только укрепить свои позиции на традиционных рынках – в крае, в регионах Западной и Восточной Сибири, на Дальнем Востоке, но и начать поставку продукции класса </w:t>
            </w:r>
            <w:r w:rsidRPr="00D10C4F">
              <w:rPr>
                <w:rFonts w:ascii="Times New Roman" w:hAnsi="Times New Roman"/>
                <w:sz w:val="24"/>
                <w:szCs w:val="24"/>
              </w:rPr>
              <w:br/>
              <w:t xml:space="preserve">«Евро-4» и «Евро-5» в западные регионы России и на экспорт. </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Производство предприятием нового вида продукции - нефтяного кокса позволит сократить его текущие импортные поставки для нужд российской</w:t>
            </w:r>
          </w:p>
        </w:tc>
        <w:tc>
          <w:tcPr>
            <w:tcW w:w="3855" w:type="dxa"/>
            <w:tcBorders>
              <w:top w:val="double" w:sz="4" w:space="0" w:color="auto"/>
              <w:bottom w:val="single" w:sz="4" w:space="0" w:color="auto"/>
            </w:tcBorders>
          </w:tcPr>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sz w:val="24"/>
                <w:szCs w:val="24"/>
              </w:rPr>
              <w:t xml:space="preserve">- </w:t>
            </w:r>
            <w:r w:rsidRPr="00D10C4F">
              <w:rPr>
                <w:rFonts w:ascii="Times New Roman" w:hAnsi="Times New Roman"/>
                <w:sz w:val="24"/>
                <w:szCs w:val="24"/>
              </w:rPr>
              <w:t>размещение на территории края объектов газопереработки и, в перспективе, газохимии.</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На базе сырья месторождений Приангарского центра может быть обеспечен выпуск широкого спектра полимерных материалов (полиэтиленов, полипропиленов, полистиролов, ксилолов, ПЭТФ-полимеров и пр.), пользующихся высоким и устойчивым спросом как на внутреннем российском, так и на мировом рынках. При этом во взаимоотношениях с Иркутской областью, имеющей достаточно развитый и перспективный сектор химии углеводородов, позиция края видится не в создании предприятий-аналогов и конкурентной борьбе между ними, а в поиске своей технологической и продуктовой ниши в этой сфере.</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sz w:val="24"/>
                <w:szCs w:val="24"/>
              </w:rPr>
            </w:pPr>
            <w:r w:rsidRPr="00D10C4F">
              <w:rPr>
                <w:rFonts w:ascii="Times New Roman" w:hAnsi="Times New Roman"/>
                <w:sz w:val="24"/>
                <w:szCs w:val="24"/>
              </w:rPr>
              <w:t>- извлечение и организация переработки гелия, присутствующего в газе</w:t>
            </w:r>
          </w:p>
        </w:tc>
      </w:tr>
    </w:tbl>
    <w:p w:rsidR="0080538D" w:rsidRDefault="0080538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4"/>
        <w:gridCol w:w="3854"/>
        <w:gridCol w:w="3854"/>
        <w:gridCol w:w="3855"/>
      </w:tblGrid>
      <w:tr w:rsidR="0080538D" w:rsidRPr="00D10C4F" w:rsidTr="00D10C4F">
        <w:trPr>
          <w:trHeight w:val="248"/>
          <w:tblHeader/>
        </w:trPr>
        <w:tc>
          <w:tcPr>
            <w:tcW w:w="3854" w:type="dxa"/>
            <w:tcBorders>
              <w:top w:val="nil"/>
              <w:left w:val="nil"/>
              <w:bottom w:val="single" w:sz="4" w:space="0" w:color="auto"/>
              <w:right w:val="nil"/>
            </w:tcBorders>
          </w:tcPr>
          <w:p w:rsidR="0080538D" w:rsidRPr="00D10C4F" w:rsidRDefault="0080538D" w:rsidP="00D10C4F">
            <w:pPr>
              <w:spacing w:after="0" w:line="240" w:lineRule="auto"/>
              <w:rPr>
                <w:rFonts w:ascii="Times New Roman" w:hAnsi="Times New Roman"/>
                <w:b/>
                <w:sz w:val="27"/>
                <w:szCs w:val="27"/>
              </w:rPr>
            </w:pPr>
            <w:r w:rsidRPr="00D10C4F">
              <w:rPr>
                <w:rFonts w:ascii="Times New Roman" w:hAnsi="Times New Roman"/>
                <w:b/>
                <w:sz w:val="28"/>
                <w:szCs w:val="27"/>
              </w:rPr>
              <w:t>Продолжение приложения 2</w:t>
            </w:r>
          </w:p>
        </w:tc>
        <w:tc>
          <w:tcPr>
            <w:tcW w:w="3854" w:type="dxa"/>
            <w:tcBorders>
              <w:top w:val="nil"/>
              <w:left w:val="nil"/>
              <w:bottom w:val="single" w:sz="4" w:space="0" w:color="auto"/>
              <w:right w:val="nil"/>
            </w:tcBorders>
          </w:tcPr>
          <w:p w:rsidR="0080538D" w:rsidRPr="00D10C4F" w:rsidRDefault="0080538D" w:rsidP="00D10C4F">
            <w:pPr>
              <w:spacing w:after="0" w:line="240" w:lineRule="auto"/>
              <w:jc w:val="center"/>
              <w:rPr>
                <w:rFonts w:ascii="Times New Roman" w:hAnsi="Times New Roman"/>
                <w:b/>
                <w:sz w:val="27"/>
                <w:szCs w:val="27"/>
              </w:rPr>
            </w:pPr>
          </w:p>
        </w:tc>
        <w:tc>
          <w:tcPr>
            <w:tcW w:w="3854" w:type="dxa"/>
            <w:tcBorders>
              <w:top w:val="nil"/>
              <w:left w:val="nil"/>
              <w:bottom w:val="single" w:sz="4" w:space="0" w:color="auto"/>
              <w:right w:val="nil"/>
            </w:tcBorders>
          </w:tcPr>
          <w:p w:rsidR="0080538D" w:rsidRPr="00D10C4F" w:rsidRDefault="0080538D" w:rsidP="00D10C4F">
            <w:pPr>
              <w:spacing w:after="0" w:line="240" w:lineRule="auto"/>
              <w:jc w:val="center"/>
              <w:rPr>
                <w:rFonts w:ascii="Times New Roman" w:hAnsi="Times New Roman"/>
                <w:b/>
                <w:sz w:val="27"/>
                <w:szCs w:val="27"/>
              </w:rPr>
            </w:pPr>
          </w:p>
        </w:tc>
        <w:tc>
          <w:tcPr>
            <w:tcW w:w="3855" w:type="dxa"/>
            <w:tcBorders>
              <w:top w:val="nil"/>
              <w:left w:val="nil"/>
              <w:bottom w:val="single" w:sz="4" w:space="0" w:color="auto"/>
              <w:right w:val="nil"/>
            </w:tcBorders>
          </w:tcPr>
          <w:p w:rsidR="0080538D" w:rsidRPr="00D10C4F" w:rsidRDefault="0080538D" w:rsidP="00D10C4F">
            <w:pPr>
              <w:spacing w:after="0" w:line="240" w:lineRule="auto"/>
              <w:jc w:val="center"/>
              <w:rPr>
                <w:rFonts w:ascii="Times New Roman" w:hAnsi="Times New Roman"/>
                <w:b/>
                <w:sz w:val="27"/>
                <w:szCs w:val="27"/>
              </w:rPr>
            </w:pPr>
          </w:p>
        </w:tc>
      </w:tr>
      <w:tr w:rsidR="0080538D" w:rsidRPr="00D10C4F" w:rsidTr="00D10C4F">
        <w:trPr>
          <w:trHeight w:val="248"/>
          <w:tblHeader/>
        </w:trPr>
        <w:tc>
          <w:tcPr>
            <w:tcW w:w="3854" w:type="dxa"/>
            <w:tcBorders>
              <w:top w:val="single" w:sz="4" w:space="0" w:color="auto"/>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Вклад в промышленный комплекс и экономику    региона</w:t>
            </w:r>
          </w:p>
        </w:tc>
        <w:tc>
          <w:tcPr>
            <w:tcW w:w="3854" w:type="dxa"/>
            <w:tcBorders>
              <w:top w:val="single" w:sz="4" w:space="0" w:color="auto"/>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Потенциальные             возможности и риски</w:t>
            </w:r>
          </w:p>
        </w:tc>
        <w:tc>
          <w:tcPr>
            <w:tcW w:w="3854" w:type="dxa"/>
            <w:tcBorders>
              <w:top w:val="single" w:sz="4" w:space="0" w:color="auto"/>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Политика импортозамещения и экспортно-ориентирования</w:t>
            </w:r>
          </w:p>
        </w:tc>
        <w:tc>
          <w:tcPr>
            <w:tcW w:w="3855" w:type="dxa"/>
            <w:tcBorders>
              <w:top w:val="single" w:sz="4" w:space="0" w:color="auto"/>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Политика инновационного</w:t>
            </w:r>
          </w:p>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развития</w:t>
            </w:r>
          </w:p>
        </w:tc>
      </w:tr>
      <w:tr w:rsidR="0080538D" w:rsidRPr="00D10C4F" w:rsidTr="00D10C4F">
        <w:trPr>
          <w:trHeight w:val="248"/>
        </w:trPr>
        <w:tc>
          <w:tcPr>
            <w:tcW w:w="3854" w:type="dxa"/>
            <w:tcBorders>
              <w:top w:val="double" w:sz="4" w:space="0" w:color="auto"/>
            </w:tcBorders>
          </w:tcPr>
          <w:p w:rsidR="0080538D" w:rsidRPr="00D10C4F" w:rsidRDefault="0080538D" w:rsidP="00D10C4F">
            <w:pPr>
              <w:spacing w:after="0" w:line="240" w:lineRule="auto"/>
              <w:jc w:val="both"/>
              <w:rPr>
                <w:rFonts w:ascii="Times New Roman" w:hAnsi="Times New Roman"/>
                <w:b/>
                <w:sz w:val="24"/>
                <w:szCs w:val="24"/>
              </w:rPr>
            </w:pPr>
          </w:p>
        </w:tc>
        <w:tc>
          <w:tcPr>
            <w:tcW w:w="3854" w:type="dxa"/>
            <w:tcBorders>
              <w:top w:val="double" w:sz="4" w:space="0" w:color="auto"/>
            </w:tcBorders>
          </w:tcPr>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sz w:val="24"/>
                <w:szCs w:val="24"/>
              </w:rPr>
              <w:t>Приангарский центр</w:t>
            </w:r>
            <w:r w:rsidRPr="00D10C4F">
              <w:rPr>
                <w:rFonts w:ascii="Times New Roman" w:hAnsi="Times New Roman"/>
                <w:sz w:val="24"/>
                <w:szCs w:val="24"/>
              </w:rPr>
              <w:t xml:space="preserve"> объединит месторождения районов Нижнего Приангарья и юга Эвенкии. Он расположен в зоне влияния трубопроводной системы ВСТО и в перспективе будет ориентирован на экспортные поставки нефти в страны АТР. Основными месторождениями Приангарского центра являются: на юге Эвенкии – Юрубчено–Тохомское, Куюмбинское, Собинско–Пайгинское; в Нижнем Приангарье – Агалеевское, Берямбинское и др.</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3. В секторе нефтепереработки края в случае реализации предусмотренного проектом схемы </w:t>
            </w:r>
            <w:r w:rsidRPr="00D10C4F">
              <w:rPr>
                <w:rFonts w:ascii="Times New Roman" w:hAnsi="Times New Roman"/>
                <w:b/>
                <w:sz w:val="24"/>
                <w:szCs w:val="24"/>
              </w:rPr>
              <w:t>территориального планирования Российской Федерации в области федерального транспорта проекта строительства</w:t>
            </w:r>
            <w:r w:rsidRPr="00D10C4F">
              <w:rPr>
                <w:rFonts w:ascii="Times New Roman" w:hAnsi="Times New Roman"/>
                <w:sz w:val="24"/>
                <w:szCs w:val="24"/>
              </w:rPr>
              <w:t xml:space="preserve"> магистрального нефтепродуктопровода «Ачинск-Кемерово- Сокур» в период до 2015 года будет осуществлено подключение Ачинского НПЗ к системе нефтепродуктопроводного транспорта, что даст возможность отправлять светлые нефтепродукты по системе МНПП как на внутренний рынок, так и на экспорт.</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Конкурентные преимущества: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высокое качество нефти основных разведанных месторождений, превосходящим по своим показателям российскийэкспортный сорт Urals. В основном это легкие (плотность 0,87 г/см3) и низкосернистые сорта нефти с содержанием серы 0,5% и менее.</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газовые месторождения, расположенными в Приангарском центре, особенностью которых является уникальный многокомпонентный состав, который позволяет рассматривать газовые ресурсы, прежде всего, в качестве сырья для производства газохимической продукции. Кроме того, высокое содержание гелия в газе создает реальные предпосылки для организации вполне конкурентоспособного, по сравнению с большинством зарубежных аналогов, производства по извлечению гелия.</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подготовка местных кадров для отрасли на базе созданного при содействии ОАО «Роснефть» Института нефти и газа Сибирского федерального университета.</w:t>
            </w:r>
          </w:p>
          <w:p w:rsidR="0080538D" w:rsidRPr="00D10C4F" w:rsidRDefault="0080538D" w:rsidP="00D10C4F">
            <w:pPr>
              <w:spacing w:after="0" w:line="240" w:lineRule="auto"/>
              <w:jc w:val="both"/>
              <w:rPr>
                <w:rFonts w:ascii="Times New Roman" w:hAnsi="Times New Roman"/>
                <w:b/>
                <w:i/>
                <w:sz w:val="24"/>
                <w:szCs w:val="24"/>
              </w:rPr>
            </w:pP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Угрозы:</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размещения углеводородов в слабоосвоенных зонах, на значительном удалении от крупных промышленных центров и рассредоточение по обширной территории. </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 сочетании с геологической сложностью объектов отмеченное обстоятельство вызывает повышенную капиталоемкость освоения ресурсов УВС, в т.ч. за счет значительного увеличения затрат на создание систем специализированной и общехозяйственной инфраструктуры.</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«независимое» развитие НГК края, при котором на территории края будет развиваться только сектор добычи, без создания перерабатывающих производств, НГК будет слабо интегрирован с другими отраслями региональной экономики и ориентирован на широкое привлечение внешних ресурсов. </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отсутствие магистральной газотранспортной инфраструктуры и отдаленные сроки ее создания (не ранее 2020 года), не позволяющее осуществлять поставки газа за пределы края;</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наличие в газовых и газоконденсатных месторождениях нефтяных оторочек, что не позволяет по технологическим причинам добывать газ до извлечения нефти;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сложный состав газов, наличие гелия и ценных компонентов для газохимической промышленности, что требует их разделения и хранения отдельных компонентов;</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отдаленные сроки планируемого развития сектора переработки газа и газохимии в существующих программах «Газпрома» (после </w:t>
            </w:r>
            <w:smartTag w:uri="urn:schemas-microsoft-com:office:smarttags" w:element="metricconverter">
              <w:smartTagPr>
                <w:attr w:name="ProductID" w:val="2020 г"/>
              </w:smartTagPr>
              <w:r w:rsidRPr="00D10C4F">
                <w:rPr>
                  <w:rFonts w:ascii="Times New Roman" w:hAnsi="Times New Roman"/>
                  <w:sz w:val="24"/>
                  <w:szCs w:val="24"/>
                </w:rPr>
                <w:t>2020 г</w:t>
              </w:r>
            </w:smartTag>
            <w:r w:rsidRPr="00D10C4F">
              <w:rPr>
                <w:rFonts w:ascii="Times New Roman" w:hAnsi="Times New Roman"/>
                <w:sz w:val="24"/>
                <w:szCs w:val="24"/>
              </w:rPr>
              <w:t>.);</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нерешенные вопросы по размещению на территории края газоперерабатывающего завода (ГПЗ) и хранилищ гелия и газа.</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i/>
                <w:sz w:val="24"/>
                <w:szCs w:val="24"/>
              </w:rPr>
            </w:pPr>
            <w:r w:rsidRPr="00D10C4F">
              <w:rPr>
                <w:rFonts w:ascii="Times New Roman" w:hAnsi="Times New Roman"/>
                <w:i/>
                <w:sz w:val="24"/>
                <w:szCs w:val="24"/>
              </w:rPr>
              <w:t>Неблагоприятными последствиями такого развития НГК края будут являться:</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реализация сырьевого варианта развития Приангарского центра, при котором на территории края будет проводиться только добыча газа, а его переработка осуществляться в Иркутской области;</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sz w:val="24"/>
                <w:szCs w:val="24"/>
              </w:rPr>
              <w:t>- слабое развитие хозяйственной кооперации предприятий края и предприятий нефтегазового комплекса, низкий уровень привлечения местных подрядчиков для удовлетворения научно–производственных и производственно–технологических потребностей нефтегазового комплекса, отказ предприятий комплекса от использования местных трудовых ресурсов.</w:t>
            </w:r>
          </w:p>
        </w:tc>
        <w:tc>
          <w:tcPr>
            <w:tcW w:w="3854" w:type="dxa"/>
            <w:tcBorders>
              <w:top w:val="double" w:sz="4" w:space="0" w:color="auto"/>
            </w:tcBorders>
          </w:tcPr>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промышленности и обеспечить перспективную потребность в этом сырье со стороны строящихся Богучанского и Тайшетского алюминиевых заводов.</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Добыча газа: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после запуска в мае 2014 года магистрального газопровода «Ванкор-Хальмерпаютинское месторождение» ванкорский газ начал поступать в Единую систему газоснабжения «Газпрома» (ЕСГ). Ввод в работу всех объектов, задействованных в реализации попутного нефтяного газа Ванкорского месторождения, обеспечит возможность ежегодно поставлять в ЕСГ до 5,6 млрд кубометров газа, а уровень рационального использования попутного нефтяного газа достигнет 95%.</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Приоритетные инвестиционные проекты, включенные в проект СТП  Красноярского края:</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1) Северный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Ванкорского нефтегазового месторождения (ООО «Ванкорнефть» (ОАО НК «Роснефть»)) - 2003-2012.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Тагульского нефтегазового месторождения (ТНК-ВР) - 2009 -2020.</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Сузунского нефтегазового месторождения (ТНК-ВР) - 2007-2012.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w:t>
            </w:r>
            <w:r w:rsidRPr="00D10C4F">
              <w:rPr>
                <w:rFonts w:ascii="Times New Roman" w:hAnsi="Times New Roman"/>
                <w:spacing w:val="-2"/>
                <w:sz w:val="24"/>
                <w:szCs w:val="24"/>
              </w:rPr>
              <w:t>Освоение группы месторождений Большехетского нефтегазоносного блока - лицензионные участки Советский, Лебяжий, Западно-Лодочный, Восточно-Лодочныйй, Нижнебаихский, Полярный, Самоедский, Байкаловский, Песчаный, Проточный, Пендомаяхский и Северо-Чарский участки (</w:t>
            </w:r>
            <w:r w:rsidRPr="00D10C4F">
              <w:rPr>
                <w:rFonts w:ascii="Times New Roman" w:hAnsi="Times New Roman"/>
                <w:sz w:val="24"/>
                <w:szCs w:val="24"/>
              </w:rPr>
              <w:t>ОАО НК «Роснефть»</w:t>
            </w:r>
            <w:r w:rsidRPr="00D10C4F">
              <w:rPr>
                <w:rFonts w:ascii="Times New Roman" w:hAnsi="Times New Roman"/>
                <w:spacing w:val="-2"/>
                <w:sz w:val="24"/>
                <w:szCs w:val="24"/>
              </w:rPr>
              <w:t xml:space="preserve">) - </w:t>
            </w:r>
            <w:r w:rsidRPr="00D10C4F">
              <w:rPr>
                <w:rFonts w:ascii="Times New Roman" w:hAnsi="Times New Roman"/>
                <w:sz w:val="24"/>
                <w:szCs w:val="24"/>
              </w:rPr>
              <w:t>после 2018.</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месторождений Таймырского нефтегазоносного блока (ЛУ Журавлиный, Портнягинский, Белогорский, Авамский, Аянский, Аяктинский) (компания не определена) - после 2018.</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Юрубчено-Тохомского нефтегазоконденсатного месторождения (ОАО НК «Роснефть») - 2000-2022.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i/>
                <w:sz w:val="24"/>
                <w:szCs w:val="24"/>
              </w:rPr>
              <w:t xml:space="preserve">- </w:t>
            </w:r>
            <w:r w:rsidRPr="00D10C4F">
              <w:rPr>
                <w:rFonts w:ascii="Times New Roman" w:hAnsi="Times New Roman"/>
                <w:sz w:val="24"/>
                <w:szCs w:val="24"/>
              </w:rPr>
              <w:t>Освоение Куюмбинского нефтяного месторождения (ОАО «Славнефть»)- 2010-2022.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i/>
                <w:sz w:val="24"/>
                <w:szCs w:val="24"/>
              </w:rPr>
              <w:t xml:space="preserve">- </w:t>
            </w:r>
            <w:r w:rsidRPr="00D10C4F">
              <w:rPr>
                <w:rFonts w:ascii="Times New Roman" w:hAnsi="Times New Roman"/>
                <w:sz w:val="24"/>
                <w:szCs w:val="24"/>
              </w:rPr>
              <w:t>Освоение Терско-Камовской группы НГМ (ОАО «Славнефть») - 2010-2022.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i/>
                <w:sz w:val="24"/>
                <w:szCs w:val="24"/>
              </w:rPr>
              <w:t xml:space="preserve">- </w:t>
            </w:r>
            <w:r w:rsidRPr="00D10C4F">
              <w:rPr>
                <w:rFonts w:ascii="Times New Roman" w:hAnsi="Times New Roman"/>
                <w:sz w:val="24"/>
                <w:szCs w:val="24"/>
              </w:rPr>
              <w:t>Освоение Оморинского газоконденсатного месторождения (ОАО «Газпром») - 2015-2019.</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i/>
                <w:sz w:val="24"/>
                <w:szCs w:val="24"/>
              </w:rPr>
              <w:t xml:space="preserve">- </w:t>
            </w:r>
            <w:r w:rsidRPr="00D10C4F">
              <w:rPr>
                <w:rFonts w:ascii="Times New Roman" w:hAnsi="Times New Roman"/>
                <w:sz w:val="24"/>
                <w:szCs w:val="24"/>
              </w:rPr>
              <w:t>Освоение Собинского и Пайгинского НГКМ (ОАО «Красноярскгазодобыча») - 2009-2020.</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2) Приангарский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Берямбинского газоконденсатного месторождения (ОАО «Красноярскгазодобыча») - 2014-2017.</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Агалеевского газового месторождения (ОАО НК «Роснефть») - 2014-2017.</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Имбинского газового месторождения (ОАО «Красноярскгазодобыча») - 2014-2017.</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3) Западный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Модернизация Ачинского НПЗ (ОАО НК «Роснефть») - 2008-2012.</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совершенствование технологий добычи нефти путем внедрения современных методов увеличения нефтеотдачи,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развитие нефтепереработки, направленное на увеличение глубины переработки нефти и повышение качества выпускаемых нефтепродуктов.</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обеспечение расширенного воспроизводства запасов нефти за счет геолого-разведочных работ и современной подготовки месторождений к эксплуатации в зрелых и новых районов нефтедобычи.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ресурсосбережение на всех стадиях технологического процесса (подготовка запасов, добыча, транспортировка и переработка нефти).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совершенствование технологии сооружения и эксплуатации геолого-разведочных и нефтепромысловых объектов.</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повышение энергоэффективнсти, снижение потерь на различных технологических стадиях производства.</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развитие производств по продуктам нефтегазохимии (пластикам, каучука, продуктам органического синтеза).</w:t>
            </w:r>
          </w:p>
          <w:p w:rsidR="0080538D" w:rsidRPr="00D10C4F" w:rsidRDefault="0080538D" w:rsidP="00D10C4F">
            <w:pPr>
              <w:spacing w:after="0" w:line="240" w:lineRule="auto"/>
              <w:jc w:val="both"/>
              <w:rPr>
                <w:rFonts w:ascii="Times New Roman" w:hAnsi="Times New Roman"/>
                <w:b/>
                <w:i/>
                <w:sz w:val="24"/>
                <w:szCs w:val="24"/>
              </w:rPr>
            </w:pPr>
          </w:p>
        </w:tc>
        <w:tc>
          <w:tcPr>
            <w:tcW w:w="3855" w:type="dxa"/>
            <w:tcBorders>
              <w:top w:val="double" w:sz="4" w:space="0" w:color="auto"/>
            </w:tcBorders>
          </w:tcPr>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месторождений Приангарского центра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внедрение современных методов по каталитическом уриформингу бензинов, гидроочистки дизельных топлив и топлив  для реактивных двигателей, изомеризации, алькилированию, гидродепарафинизации и деароматизации.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получение кислородосодержащих высокоактивных добавок.</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использование в геолого-разведочных работ дистанционных методов при поисковых работах (аэрокосмических).</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создание новых методов воздействия на пласты и увеличение нефтедобычи.</w:t>
            </w:r>
          </w:p>
          <w:p w:rsidR="0080538D" w:rsidRPr="00D10C4F" w:rsidRDefault="0080538D" w:rsidP="00D10C4F">
            <w:pPr>
              <w:pStyle w:val="ListParagraph"/>
              <w:numPr>
                <w:ilvl w:val="0"/>
                <w:numId w:val="4"/>
              </w:numPr>
              <w:rPr>
                <w:sz w:val="24"/>
                <w:szCs w:val="24"/>
              </w:rPr>
            </w:pPr>
            <w:r w:rsidRPr="00D10C4F">
              <w:rPr>
                <w:sz w:val="24"/>
                <w:szCs w:val="24"/>
              </w:rPr>
              <w:t>создание биопрепаратов для добычи и транспортировки нефти  и нефтепродуктов</w:t>
            </w:r>
          </w:p>
          <w:p w:rsidR="0080538D" w:rsidRPr="00D10C4F" w:rsidRDefault="0080538D" w:rsidP="00394122">
            <w:pPr>
              <w:pStyle w:val="ListParagraph"/>
              <w:rPr>
                <w:b/>
                <w:sz w:val="24"/>
                <w:szCs w:val="24"/>
              </w:rPr>
            </w:pPr>
            <w:r w:rsidRPr="00D10C4F">
              <w:rPr>
                <w:sz w:val="24"/>
                <w:szCs w:val="24"/>
              </w:rPr>
              <w:t xml:space="preserve"> </w:t>
            </w:r>
          </w:p>
        </w:tc>
      </w:tr>
    </w:tbl>
    <w:p w:rsidR="0080538D" w:rsidRDefault="0080538D"/>
    <w:p w:rsidR="0080538D" w:rsidRDefault="0080538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4"/>
        <w:gridCol w:w="3854"/>
        <w:gridCol w:w="3854"/>
        <w:gridCol w:w="3855"/>
      </w:tblGrid>
      <w:tr w:rsidR="0080538D" w:rsidRPr="00D10C4F" w:rsidTr="00D10C4F">
        <w:trPr>
          <w:tblHeader/>
        </w:trPr>
        <w:tc>
          <w:tcPr>
            <w:tcW w:w="3854" w:type="dxa"/>
            <w:tcBorders>
              <w:top w:val="nil"/>
              <w:left w:val="nil"/>
              <w:bottom w:val="single" w:sz="4" w:space="0" w:color="auto"/>
              <w:right w:val="nil"/>
            </w:tcBorders>
          </w:tcPr>
          <w:p w:rsidR="0080538D" w:rsidRPr="00D10C4F" w:rsidRDefault="0080538D" w:rsidP="00D10C4F">
            <w:pPr>
              <w:spacing w:after="0" w:line="240" w:lineRule="auto"/>
              <w:rPr>
                <w:rFonts w:ascii="Times New Roman" w:hAnsi="Times New Roman"/>
                <w:b/>
                <w:sz w:val="27"/>
                <w:szCs w:val="27"/>
              </w:rPr>
            </w:pPr>
            <w:r w:rsidRPr="00D10C4F">
              <w:rPr>
                <w:rFonts w:ascii="Times New Roman" w:hAnsi="Times New Roman"/>
                <w:b/>
                <w:sz w:val="28"/>
                <w:szCs w:val="27"/>
              </w:rPr>
              <w:t>Продолжение приложения 2</w:t>
            </w:r>
          </w:p>
        </w:tc>
        <w:tc>
          <w:tcPr>
            <w:tcW w:w="3854" w:type="dxa"/>
            <w:tcBorders>
              <w:top w:val="nil"/>
              <w:left w:val="nil"/>
              <w:bottom w:val="single" w:sz="4" w:space="0" w:color="auto"/>
              <w:right w:val="nil"/>
            </w:tcBorders>
          </w:tcPr>
          <w:p w:rsidR="0080538D" w:rsidRPr="00D10C4F" w:rsidRDefault="0080538D" w:rsidP="00D10C4F">
            <w:pPr>
              <w:spacing w:after="0" w:line="240" w:lineRule="auto"/>
              <w:jc w:val="center"/>
              <w:rPr>
                <w:rFonts w:ascii="Times New Roman" w:hAnsi="Times New Roman"/>
                <w:b/>
                <w:sz w:val="27"/>
                <w:szCs w:val="27"/>
              </w:rPr>
            </w:pPr>
          </w:p>
        </w:tc>
        <w:tc>
          <w:tcPr>
            <w:tcW w:w="3854" w:type="dxa"/>
            <w:tcBorders>
              <w:top w:val="nil"/>
              <w:left w:val="nil"/>
              <w:bottom w:val="single" w:sz="4" w:space="0" w:color="auto"/>
              <w:right w:val="nil"/>
            </w:tcBorders>
          </w:tcPr>
          <w:p w:rsidR="0080538D" w:rsidRPr="00D10C4F" w:rsidRDefault="0080538D" w:rsidP="00D10C4F">
            <w:pPr>
              <w:spacing w:after="0" w:line="240" w:lineRule="auto"/>
              <w:jc w:val="center"/>
              <w:rPr>
                <w:rFonts w:ascii="Times New Roman" w:hAnsi="Times New Roman"/>
                <w:b/>
                <w:sz w:val="27"/>
                <w:szCs w:val="27"/>
              </w:rPr>
            </w:pPr>
          </w:p>
        </w:tc>
        <w:tc>
          <w:tcPr>
            <w:tcW w:w="3855" w:type="dxa"/>
            <w:tcBorders>
              <w:top w:val="nil"/>
              <w:left w:val="nil"/>
              <w:bottom w:val="single" w:sz="4" w:space="0" w:color="auto"/>
              <w:right w:val="nil"/>
            </w:tcBorders>
          </w:tcPr>
          <w:p w:rsidR="0080538D" w:rsidRPr="00D10C4F" w:rsidRDefault="0080538D" w:rsidP="00D10C4F">
            <w:pPr>
              <w:spacing w:after="0" w:line="240" w:lineRule="auto"/>
              <w:jc w:val="center"/>
              <w:rPr>
                <w:rFonts w:ascii="Times New Roman" w:hAnsi="Times New Roman"/>
                <w:b/>
                <w:sz w:val="27"/>
                <w:szCs w:val="27"/>
              </w:rPr>
            </w:pPr>
          </w:p>
        </w:tc>
      </w:tr>
      <w:tr w:rsidR="0080538D" w:rsidRPr="00D10C4F" w:rsidTr="00D10C4F">
        <w:trPr>
          <w:tblHeader/>
        </w:trPr>
        <w:tc>
          <w:tcPr>
            <w:tcW w:w="3854" w:type="dxa"/>
            <w:tcBorders>
              <w:top w:val="single" w:sz="4" w:space="0" w:color="auto"/>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Вклад в промышленный комплекс и экономику    региона</w:t>
            </w:r>
          </w:p>
        </w:tc>
        <w:tc>
          <w:tcPr>
            <w:tcW w:w="3854" w:type="dxa"/>
            <w:tcBorders>
              <w:top w:val="single" w:sz="4" w:space="0" w:color="auto"/>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Потенциальные             возможности и риски</w:t>
            </w:r>
          </w:p>
        </w:tc>
        <w:tc>
          <w:tcPr>
            <w:tcW w:w="3854" w:type="dxa"/>
            <w:tcBorders>
              <w:top w:val="single" w:sz="4" w:space="0" w:color="auto"/>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Политика импортозамещения и экспортно-ориентирования</w:t>
            </w:r>
          </w:p>
        </w:tc>
        <w:tc>
          <w:tcPr>
            <w:tcW w:w="3855" w:type="dxa"/>
            <w:tcBorders>
              <w:top w:val="single" w:sz="4" w:space="0" w:color="auto"/>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Политика инновационного</w:t>
            </w:r>
          </w:p>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развития</w:t>
            </w:r>
          </w:p>
        </w:tc>
      </w:tr>
      <w:tr w:rsidR="0080538D" w:rsidRPr="00D10C4F" w:rsidTr="00D10C4F">
        <w:tc>
          <w:tcPr>
            <w:tcW w:w="3854" w:type="dxa"/>
            <w:tcBorders>
              <w:top w:val="double" w:sz="4" w:space="0" w:color="auto"/>
            </w:tcBorders>
          </w:tcPr>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Топливно-энергетический комплекс</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ВЭД:</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раздел C «Добыча полезных ископаемых», подраздел CA «Добыча топливно-энергетических полезных ископаемых» (кроме видов деятельности СА 11.1 «Добыча сырой нефти и природного газа» и СА 11.2 «Предоставление услуг по добыче нефти и газа»);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раздел E «Производство и распределение электроэнергии, газа и воды».</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Вклад:</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Доля составляющих его видов деятельности (добычи угля и производства электро– и теплоэнергии) в структуре промышленного комплекса на протяжении длительного периода времени остается на уровне </w:t>
            </w:r>
            <w:r w:rsidRPr="00D10C4F">
              <w:rPr>
                <w:rFonts w:ascii="Times New Roman" w:hAnsi="Times New Roman"/>
                <w:b/>
                <w:sz w:val="24"/>
                <w:szCs w:val="24"/>
              </w:rPr>
              <w:t>12%.</w:t>
            </w:r>
            <w:r w:rsidRPr="00D10C4F">
              <w:rPr>
                <w:rFonts w:ascii="Times New Roman" w:hAnsi="Times New Roman"/>
                <w:sz w:val="24"/>
                <w:szCs w:val="24"/>
              </w:rPr>
              <w:t xml:space="preserve"> В общей занятости края доля занятых в добыче угля составляет 0,4%, в производстве электроэнергии и теплоэнергии – 2,7%.</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Суммарная установленная </w:t>
            </w:r>
            <w:r w:rsidRPr="00D10C4F">
              <w:rPr>
                <w:rFonts w:ascii="Times New Roman" w:hAnsi="Times New Roman"/>
                <w:b/>
                <w:sz w:val="24"/>
                <w:szCs w:val="24"/>
              </w:rPr>
              <w:t>мощность энергетических станций</w:t>
            </w:r>
            <w:r w:rsidRPr="00D10C4F">
              <w:rPr>
                <w:rFonts w:ascii="Times New Roman" w:hAnsi="Times New Roman"/>
                <w:sz w:val="24"/>
                <w:szCs w:val="24"/>
              </w:rPr>
              <w:t xml:space="preserve"> края составляет около 14 ГВт (6,2 % общей мощности всех станций России), что обеспечивает краю одну из лидирующих позиций в России. </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w:t>
            </w:r>
            <w:r w:rsidRPr="00D10C4F">
              <w:rPr>
                <w:rFonts w:ascii="Times New Roman" w:hAnsi="Times New Roman"/>
                <w:b/>
                <w:sz w:val="24"/>
                <w:szCs w:val="24"/>
              </w:rPr>
              <w:t>По объемам производства электроэнергии</w:t>
            </w:r>
            <w:r w:rsidRPr="00D10C4F">
              <w:rPr>
                <w:rFonts w:ascii="Times New Roman" w:hAnsi="Times New Roman"/>
                <w:sz w:val="24"/>
                <w:szCs w:val="24"/>
              </w:rPr>
              <w:t xml:space="preserve"> (порядка 60 млрдкВт•ч) край занимает </w:t>
            </w:r>
            <w:r w:rsidRPr="00D10C4F">
              <w:rPr>
                <w:rFonts w:ascii="Times New Roman" w:hAnsi="Times New Roman"/>
                <w:b/>
                <w:sz w:val="24"/>
                <w:szCs w:val="24"/>
              </w:rPr>
              <w:t>третье место</w:t>
            </w:r>
            <w:r w:rsidRPr="00D10C4F">
              <w:rPr>
                <w:rFonts w:ascii="Times New Roman" w:hAnsi="Times New Roman"/>
                <w:sz w:val="24"/>
                <w:szCs w:val="24"/>
              </w:rPr>
              <w:t xml:space="preserve"> в России, уступая только Тюменской и Иркутской областям. </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sz w:val="24"/>
                <w:szCs w:val="24"/>
              </w:rPr>
              <w:t xml:space="preserve">- </w:t>
            </w:r>
            <w:r w:rsidRPr="00D10C4F">
              <w:rPr>
                <w:rFonts w:ascii="Times New Roman" w:hAnsi="Times New Roman"/>
                <w:b/>
                <w:sz w:val="24"/>
                <w:szCs w:val="24"/>
              </w:rPr>
              <w:t>По объемам производства твердого топлива</w:t>
            </w:r>
            <w:r w:rsidRPr="00D10C4F">
              <w:rPr>
                <w:rFonts w:ascii="Times New Roman" w:hAnsi="Times New Roman"/>
                <w:sz w:val="24"/>
                <w:szCs w:val="24"/>
              </w:rPr>
              <w:t xml:space="preserve"> (более 40 млн.тонн) край занимает </w:t>
            </w:r>
            <w:r w:rsidRPr="00D10C4F">
              <w:rPr>
                <w:rFonts w:ascii="Times New Roman" w:hAnsi="Times New Roman"/>
                <w:b/>
                <w:sz w:val="24"/>
                <w:szCs w:val="24"/>
              </w:rPr>
              <w:t>2-е место в России</w:t>
            </w:r>
            <w:r w:rsidRPr="00D10C4F">
              <w:rPr>
                <w:rFonts w:ascii="Times New Roman" w:hAnsi="Times New Roman"/>
                <w:sz w:val="24"/>
                <w:szCs w:val="24"/>
              </w:rPr>
              <w:t xml:space="preserve"> после Кемеровской области. Более 90% углей, добываемых в Красноярском крае, относятся к Канско–Ачинскому угольному бассейну.</w:t>
            </w:r>
          </w:p>
        </w:tc>
        <w:tc>
          <w:tcPr>
            <w:tcW w:w="3854" w:type="dxa"/>
            <w:tcBorders>
              <w:top w:val="double" w:sz="4" w:space="0" w:color="auto"/>
            </w:tcBorders>
          </w:tcPr>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Преимущества: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высокая обеспеченность комплексными запасами топливно–энергетических ресурсов, как возобновляемых (гидроресурсы), так и минеральных (гигантские запасы энергетических углей, ресурсы нефти и газа, торфа) способна обеспечить краю на длительное время роль одной из важнейших энергоресурсных баз России. </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Красноярская энергосистема является избыточной как по мощности, так и по выработке электроэнергии, излишки которой передаются на оптовый рынок электроэнергии Сибири.</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Факторы, сдерживающие развитие:</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1) в энергетическом комплексе:</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низкий технический уровень и изношенность оборудования ряда объектов энергетики, низкое качество распределительных сетей, недостаток приборов учета, измерения и автоматического регулирования распределения и использования теплоэнергии.</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2) В угледобыче:</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ограниченность рынка сбыта рядовых бурых углей, который в силу высоких тарифов на железнодорожные перевозки и отсутствия технологий по переработке угля ограничен в основном регионами Сибири.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3) удаленность территории от крупных рынков сбыта энергетических ресурсов и энергоемких производств, что увеличивает издержки на транспортировку продукции и снижает ее конкурентоспособность.</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Возможности: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внутренние (развитие сырьевых и перерабатывающих энергоемких предприятий цветной металлургии, нефтегазового и лесопромышленного комплексов на территории края);</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внешние факторы (растущий дефицит электроэнергии в западных районах Сибири и центральной части России).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развитие сектора атомной энергетики путем реализации проектов переработки отработанного ядерного топлива и создания МОКС – топлива для использования в атомных реакторах.</w:t>
            </w:r>
          </w:p>
        </w:tc>
        <w:tc>
          <w:tcPr>
            <w:tcW w:w="3854" w:type="dxa"/>
            <w:tcBorders>
              <w:top w:val="double" w:sz="4" w:space="0" w:color="auto"/>
            </w:tcBorders>
          </w:tcPr>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Развитие электроэнергетики в основном для обеспечения формирующихся зон опережающего развития и региональных нужд, обеспечения качественного энергоснабжения населения края и предусматривает как </w:t>
            </w:r>
            <w:r w:rsidRPr="00D10C4F">
              <w:rPr>
                <w:rFonts w:ascii="Times New Roman" w:hAnsi="Times New Roman"/>
                <w:b/>
                <w:sz w:val="24"/>
                <w:szCs w:val="24"/>
              </w:rPr>
              <w:t>модернизацию</w:t>
            </w:r>
            <w:r w:rsidRPr="00D10C4F">
              <w:rPr>
                <w:rFonts w:ascii="Times New Roman" w:hAnsi="Times New Roman"/>
                <w:sz w:val="24"/>
                <w:szCs w:val="24"/>
              </w:rPr>
              <w:t xml:space="preserve"> действующих тепловых станций (ТЭЦ–1, Минусинская ТЭЦ, Канская ТЭЦ, ТЭЦ Ачинского глиноземного комбината), так и вводы новых мощностей (Богучанская ГЭС, третий энергоблок Березовской ГРЭС–1, малые энергомощности вблизи районов нагрузок и вблизи источников топливных ресурсов).</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Создание мощностей гидрогенерации, обеспечивающих потребности интенсивно развивающихся районов Нижнего Приангарья и Туруханского района (Нижнеангарская и Нижнекурейская ГЭС). </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Проекты строительства локальных генераций на местных энергоносителях должны быть реализованы на Таймыре, в Эвенкии, Туруханском районе, районах Нижнего Приангарья.</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Рост добычи угля и стабильные объемы его поставок внутри края до 2015 г. будут определяться: потребностями новых мощностей на тепловых станциях, </w:t>
            </w:r>
            <w:r w:rsidRPr="00D10C4F">
              <w:rPr>
                <w:rFonts w:ascii="Times New Roman" w:hAnsi="Times New Roman"/>
                <w:b/>
                <w:sz w:val="24"/>
                <w:szCs w:val="24"/>
              </w:rPr>
              <w:t>спроектированных на использование углей КАТЭК в Красноярском крае (новый энергоблок на Красноярской ТЭЦ–3</w:t>
            </w:r>
            <w:r w:rsidRPr="00D10C4F">
              <w:rPr>
                <w:rFonts w:ascii="Times New Roman" w:hAnsi="Times New Roman"/>
                <w:sz w:val="24"/>
                <w:szCs w:val="24"/>
              </w:rPr>
              <w:t>, модернизированный энергоблок № 7 Назаровской ГРЭС, строящийся энергоблок №3 Березовской ГРЭС); заменой каменных углей, ввозимых из Республики Хакасия для теплоснабжения западных районов Нижнего Приангарья, городов Лесосибирска и Енисейска, на местные каменные угли; использованием углей строящихся малых угольных разрезов для обеспечения теплом и электроэнергией п.Тура и п.Хатанга; использованием для теплообеспечения населения Богучанского и Кежемского районов и технологических нужд промышленных предприятий в восточной части Нижнего Приангарья каменных углей Карабульского месторождения; ростом потребления угля на котельных, обеспечивающих теплом районы новой жилой застройки в пределах формируемой Красноярской агломерации.</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Приоритетные инвестиционные проекты, включенные в проект СТП  Красноярского края:</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1) Угольная промышленность</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sz w:val="24"/>
                <w:szCs w:val="24"/>
              </w:rPr>
              <w:t xml:space="preserve">Северный макрорайон: </w:t>
            </w:r>
            <w:r w:rsidRPr="00D10C4F">
              <w:rPr>
                <w:rFonts w:ascii="Times New Roman" w:hAnsi="Times New Roman"/>
                <w:sz w:val="24"/>
                <w:szCs w:val="24"/>
              </w:rPr>
              <w:t>Развитие угледобычи на разрезе «Кораблик» (Проект муниципалитета) - 2008-2010.</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sz w:val="24"/>
                <w:szCs w:val="24"/>
              </w:rPr>
              <w:t xml:space="preserve">Приангарский макрорайон: </w:t>
            </w:r>
            <w:r w:rsidRPr="00D10C4F">
              <w:rPr>
                <w:rFonts w:ascii="Times New Roman" w:hAnsi="Times New Roman"/>
                <w:sz w:val="24"/>
                <w:szCs w:val="24"/>
              </w:rPr>
              <w:t>Увеличение объемов добычи на Кокуйском угольном месторождении (ЗАО "ЗДК "Полюс") - 2008-2010.</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Увеличение объемов добычи на Карабульском угольном месторождении (ООО "Искра") - 2008-2010.</w:t>
            </w: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Западный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sz w:val="24"/>
                <w:szCs w:val="24"/>
              </w:rPr>
              <w:t xml:space="preserve">- </w:t>
            </w:r>
            <w:r w:rsidRPr="00D10C4F">
              <w:rPr>
                <w:rFonts w:ascii="Times New Roman" w:hAnsi="Times New Roman"/>
                <w:sz w:val="24"/>
                <w:szCs w:val="24"/>
              </w:rPr>
              <w:t>Увеличение объемов добычи угля на разрезе «Березовский-1» в связи с расширением Березовской ГРЭС (ОАО «СУЭК») - 2008- 2020.</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Увеличение объемов добычи угля на разрезе «Сереульский» (ОАО «Новосибирскэнерго») - 2008-2012.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Увеличение объемов добычи угля на разрезе «Чулымский» (ЗАО «Чулым-Уголь») - 2009-2012.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участка «Новый» Большесырского месторождения (ООО«Сибуголь») - 2009-2012.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Увеличение объемов добычи угля на месторождении «Соболевско-Боровское» (ОАО «Сибирская горнорудноэнергетическая компания») - 2008-2012.</w:t>
            </w: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Восточный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sz w:val="24"/>
                <w:szCs w:val="24"/>
              </w:rPr>
              <w:t xml:space="preserve">- </w:t>
            </w:r>
            <w:r w:rsidRPr="00D10C4F">
              <w:rPr>
                <w:rFonts w:ascii="Times New Roman" w:hAnsi="Times New Roman"/>
                <w:sz w:val="24"/>
                <w:szCs w:val="24"/>
              </w:rPr>
              <w:t>Увеличение объемов добычи угля на разрезе «Бородинский» (ОАО «СУЭК») - 2008-2015.</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Увеличение производственной мощности разреза «Переясловский» (ОАО «Красноярсккрайуголь»)- 2008-2012.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Увеличение добычи угля на разрезе «Ирбейский» (ОАО «Иркутскэнерго»)- 2008-2012.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месторождения «Искринское» (компания не определена) - 2008-2012.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Увеличение добычи угля на разрезе «Саяно-Партизанский» (компания не определена) - 2008-2012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Развитие разреза «Степановский» (компания не определена) - 2008-2012</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Южный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Модернизация Минусинской ТЭЦ (ОАО «Енисейская ТГК»)- 2008-2010.</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Восточный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sz w:val="24"/>
                <w:szCs w:val="24"/>
              </w:rPr>
              <w:t xml:space="preserve">- </w:t>
            </w:r>
            <w:r w:rsidRPr="00D10C4F">
              <w:rPr>
                <w:rFonts w:ascii="Times New Roman" w:hAnsi="Times New Roman"/>
                <w:sz w:val="24"/>
                <w:szCs w:val="24"/>
              </w:rPr>
              <w:t>Модернизация Канской ТЭЦ (ОАО «Енисейская ТГК») - 2009-2010.</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Западный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Расширение мощности ТЭЦ наАчинском глиноземном комбинате (ОАО «Русал») - 2009-2010.</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Модернизация блока №7 на Назаровской ГРЭС</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Строительство энергоблоков №3-4 Березовской ГРЭС</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Строительство энергоблоков №5-6 Березовской ГРЭС</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Строительство энергоблока №1 Березовской ТЭС-2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Строительство энергоблоков №2-6 Березовской ТЭС-2</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Центральный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sz w:val="24"/>
                <w:szCs w:val="24"/>
              </w:rPr>
              <w:t xml:space="preserve">- </w:t>
            </w:r>
            <w:r w:rsidRPr="00D10C4F">
              <w:rPr>
                <w:rFonts w:ascii="Times New Roman" w:hAnsi="Times New Roman"/>
                <w:sz w:val="24"/>
                <w:szCs w:val="24"/>
              </w:rPr>
              <w:t>Реконструкция энергомощностей ООО «Крастяжмашэнерго»</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Строительство энергоблоков Красноярской ТЭЦ-3 (3 энергоблока)</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Инвестиционные проекты, реализуемые в рамках Федеральной целевой программы «Ядерные энерготехнологии нового поколения» в 2012-2015 гг.:</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1) ФГУП «Горно-химический комбинат»:</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строительство промышленного производства МОКС0топлива для энергоблока №4 Белоярской АЭС с реактором БН-800</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исследование новых способов использования энергии атомного ядра.</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повышение активности и адаптивности электрических сетей (адаптивные устройства РЗА, системы регулирования, логическая автоматика, цифровая </w:t>
            </w:r>
            <w:r w:rsidRPr="00D10C4F">
              <w:rPr>
                <w:rFonts w:ascii="Times New Roman" w:hAnsi="Times New Roman"/>
                <w:sz w:val="24"/>
                <w:szCs w:val="24"/>
                <w:lang w:val="en-US"/>
              </w:rPr>
              <w:t>online</w:t>
            </w:r>
            <w:r w:rsidRPr="00D10C4F">
              <w:rPr>
                <w:rFonts w:ascii="Times New Roman" w:hAnsi="Times New Roman"/>
                <w:sz w:val="24"/>
                <w:szCs w:val="24"/>
              </w:rPr>
              <w:t xml:space="preserve"> модель сети).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увеличение мощности по производству мономеров (прежде всего, пиролизов). </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производство био-топлива и электроэнергии из древесного сырья на мини-ТЭЦ</w:t>
            </w:r>
          </w:p>
        </w:tc>
        <w:tc>
          <w:tcPr>
            <w:tcW w:w="3855" w:type="dxa"/>
            <w:tcBorders>
              <w:top w:val="double" w:sz="4" w:space="0" w:color="auto"/>
            </w:tcBorders>
          </w:tcPr>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развитие углехимии. </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к числу приоритетных объектов ТЭК Красноярского края, намеченных к сооружению и вводу в эксплуатацию, относятся Богучанская ГЭС, третий энергоблок Березовской ГРЭС–1 и объекты сетевого хозяйства (ЛЭП и подстанции).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содействие формированию новой системы управления режимами в энергосистеме и взаимодействия с сопредельными энергосистемами, так как изменение роли и значения Красноярской генерации определяет необходимость формирования нового центра ОДУ «Сибирь» на территории края с применением устройств, использующих постоянный ток (в настоящее время такой центр расположен в Кемеровской области).</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Переход к электрической сети нового технологического уклада с качественно новыми характеристиками надежности, эффективности, доступности, управляемости и клиентоориентированности (высокотехнологичный сервис).</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обеспечение условий серийного внедрения инновационного оборудования на основе принципов управления жизненным циклов объектов и систем.</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совершенствование системы взаимодействия с субъектами отраслевой  инновационной экосистемы.</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цифровизация процессов управления – переход от аналогового к цифровому принципу управления, автоматизированной системы управления технологическими процессами учета электроэнергии и связи (применение цифровых измерительных трансформаторов, векторных регистраторов режима, оборудования цифровых сетей, переход к цифровой подстанции и т.д.).</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развитие мультиагентных систем</w:t>
            </w:r>
          </w:p>
          <w:p w:rsidR="0080538D" w:rsidRPr="00D10C4F" w:rsidRDefault="0080538D" w:rsidP="00D10C4F">
            <w:pPr>
              <w:pStyle w:val="ListParagraph"/>
              <w:numPr>
                <w:ilvl w:val="0"/>
                <w:numId w:val="4"/>
              </w:numPr>
              <w:rPr>
                <w:sz w:val="24"/>
                <w:szCs w:val="24"/>
              </w:rPr>
            </w:pPr>
            <w:r w:rsidRPr="00D10C4F">
              <w:rPr>
                <w:sz w:val="24"/>
                <w:szCs w:val="24"/>
              </w:rPr>
              <w:t>развитие малой распределенной  энергетики</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p>
        </w:tc>
      </w:tr>
      <w:tr w:rsidR="0080538D" w:rsidRPr="00D10C4F" w:rsidTr="00D10C4F">
        <w:tc>
          <w:tcPr>
            <w:tcW w:w="3854" w:type="dxa"/>
          </w:tcPr>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Металлургический комплекс</w:t>
            </w: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ВЭД:</w:t>
            </w:r>
          </w:p>
          <w:p w:rsidR="0080538D" w:rsidRPr="00D10C4F" w:rsidRDefault="0080538D" w:rsidP="00D10C4F">
            <w:pPr>
              <w:pStyle w:val="ListParagraph1"/>
              <w:tabs>
                <w:tab w:val="left" w:pos="1080"/>
              </w:tabs>
              <w:spacing w:after="0" w:line="240" w:lineRule="auto"/>
              <w:ind w:left="0"/>
              <w:jc w:val="both"/>
              <w:rPr>
                <w:rFonts w:ascii="Times New Roman" w:hAnsi="Times New Roman"/>
                <w:sz w:val="24"/>
                <w:szCs w:val="24"/>
              </w:rPr>
            </w:pPr>
            <w:r w:rsidRPr="00D10C4F">
              <w:rPr>
                <w:rStyle w:val="red"/>
                <w:rFonts w:ascii="Times New Roman" w:hAnsi="Times New Roman"/>
                <w:sz w:val="24"/>
                <w:szCs w:val="24"/>
              </w:rPr>
              <w:t xml:space="preserve">- Раздел </w:t>
            </w:r>
            <w:r w:rsidRPr="00D10C4F">
              <w:rPr>
                <w:rStyle w:val="red"/>
                <w:rFonts w:ascii="Times New Roman" w:hAnsi="Times New Roman"/>
                <w:sz w:val="24"/>
                <w:szCs w:val="24"/>
                <w:lang w:val="en-US"/>
              </w:rPr>
              <w:t>C</w:t>
            </w:r>
            <w:r w:rsidRPr="00D10C4F">
              <w:rPr>
                <w:rStyle w:val="red"/>
                <w:rFonts w:ascii="Times New Roman" w:hAnsi="Times New Roman"/>
                <w:sz w:val="24"/>
                <w:szCs w:val="24"/>
              </w:rPr>
              <w:t xml:space="preserve">. Добыча полезных ископаемых (Подраздел </w:t>
            </w:r>
            <w:r w:rsidRPr="00D10C4F">
              <w:rPr>
                <w:rStyle w:val="red"/>
                <w:rFonts w:ascii="Times New Roman" w:hAnsi="Times New Roman"/>
                <w:sz w:val="24"/>
                <w:szCs w:val="24"/>
                <w:lang w:val="en-US"/>
              </w:rPr>
              <w:t>CB</w:t>
            </w:r>
            <w:r w:rsidRPr="00D10C4F">
              <w:rPr>
                <w:rStyle w:val="red"/>
                <w:rFonts w:ascii="Times New Roman" w:hAnsi="Times New Roman"/>
                <w:sz w:val="24"/>
                <w:szCs w:val="24"/>
              </w:rPr>
              <w:t>.</w:t>
            </w:r>
            <w:r w:rsidRPr="00D10C4F">
              <w:rPr>
                <w:rFonts w:ascii="Times New Roman" w:hAnsi="Times New Roman"/>
                <w:sz w:val="24"/>
                <w:szCs w:val="24"/>
              </w:rPr>
              <w:t>Добыча полезных ископаемых, кроме топливно-энергетических. Вид деятельности 13.1 - Добыча железных руд</w:t>
            </w:r>
            <w:r w:rsidRPr="00D10C4F">
              <w:rPr>
                <w:rStyle w:val="red"/>
                <w:rFonts w:ascii="Times New Roman" w:hAnsi="Times New Roman"/>
                <w:sz w:val="24"/>
                <w:szCs w:val="24"/>
              </w:rPr>
              <w:t>);</w:t>
            </w:r>
          </w:p>
          <w:p w:rsidR="0080538D" w:rsidRPr="00D10C4F" w:rsidRDefault="0080538D" w:rsidP="00D10C4F">
            <w:pPr>
              <w:pStyle w:val="ListParagraph1"/>
              <w:tabs>
                <w:tab w:val="left" w:pos="1080"/>
              </w:tabs>
              <w:spacing w:after="0" w:line="240" w:lineRule="auto"/>
              <w:ind w:left="0"/>
              <w:jc w:val="both"/>
              <w:rPr>
                <w:rStyle w:val="red"/>
                <w:rFonts w:ascii="Times New Roman" w:hAnsi="Times New Roman"/>
                <w:sz w:val="24"/>
                <w:szCs w:val="24"/>
              </w:rPr>
            </w:pPr>
            <w:r w:rsidRPr="00D10C4F">
              <w:rPr>
                <w:rStyle w:val="red"/>
                <w:rFonts w:ascii="Times New Roman" w:hAnsi="Times New Roman"/>
                <w:sz w:val="24"/>
                <w:szCs w:val="24"/>
              </w:rPr>
              <w:t xml:space="preserve">- Раздел </w:t>
            </w:r>
            <w:r w:rsidRPr="00D10C4F">
              <w:rPr>
                <w:rStyle w:val="red"/>
                <w:rFonts w:ascii="Times New Roman" w:hAnsi="Times New Roman"/>
                <w:sz w:val="24"/>
                <w:szCs w:val="24"/>
                <w:lang w:val="en-US"/>
              </w:rPr>
              <w:t>D</w:t>
            </w:r>
            <w:r w:rsidRPr="00D10C4F">
              <w:rPr>
                <w:rStyle w:val="red"/>
                <w:rFonts w:ascii="Times New Roman" w:hAnsi="Times New Roman"/>
                <w:sz w:val="24"/>
                <w:szCs w:val="24"/>
              </w:rPr>
              <w:t xml:space="preserve">. Обрабатывающие производства. (Подраздел </w:t>
            </w:r>
            <w:r w:rsidRPr="00D10C4F">
              <w:rPr>
                <w:rStyle w:val="red"/>
                <w:rFonts w:ascii="Times New Roman" w:hAnsi="Times New Roman"/>
                <w:sz w:val="24"/>
                <w:szCs w:val="24"/>
                <w:lang w:val="en-US"/>
              </w:rPr>
              <w:t>DJ</w:t>
            </w:r>
            <w:r w:rsidRPr="00D10C4F">
              <w:rPr>
                <w:rStyle w:val="red"/>
                <w:rFonts w:ascii="Times New Roman" w:hAnsi="Times New Roman"/>
                <w:sz w:val="24"/>
                <w:szCs w:val="24"/>
              </w:rPr>
              <w:t>.</w:t>
            </w:r>
            <w:r w:rsidRPr="00D10C4F">
              <w:rPr>
                <w:rFonts w:ascii="Times New Roman" w:hAnsi="Times New Roman"/>
                <w:color w:val="000000"/>
                <w:sz w:val="24"/>
                <w:szCs w:val="24"/>
              </w:rPr>
              <w:t>Металлургическое производство и производство готовых металлических изделий</w:t>
            </w:r>
            <w:r w:rsidRPr="00D10C4F">
              <w:rPr>
                <w:rStyle w:val="red"/>
                <w:rFonts w:ascii="Times New Roman" w:hAnsi="Times New Roman"/>
                <w:sz w:val="24"/>
                <w:szCs w:val="24"/>
              </w:rPr>
              <w:t>).</w:t>
            </w:r>
          </w:p>
          <w:p w:rsidR="0080538D" w:rsidRPr="00D10C4F" w:rsidRDefault="0080538D" w:rsidP="00D10C4F">
            <w:pPr>
              <w:pStyle w:val="ListParagraph1"/>
              <w:tabs>
                <w:tab w:val="left" w:pos="1080"/>
              </w:tabs>
              <w:spacing w:after="0" w:line="240" w:lineRule="auto"/>
              <w:ind w:left="0"/>
              <w:jc w:val="both"/>
              <w:rPr>
                <w:rStyle w:val="red"/>
                <w:rFonts w:ascii="Times New Roman" w:hAnsi="Times New Roman"/>
                <w:sz w:val="24"/>
                <w:szCs w:val="24"/>
              </w:rPr>
            </w:pPr>
            <w:r w:rsidRPr="00D10C4F">
              <w:rPr>
                <w:rStyle w:val="red"/>
                <w:rFonts w:ascii="Times New Roman" w:hAnsi="Times New Roman"/>
                <w:sz w:val="24"/>
                <w:szCs w:val="24"/>
              </w:rPr>
              <w:t xml:space="preserve">- Раздел C. Добыча полезных ископаемых (Подраздел CB. Добыча полезных ископаемых, кроме топливно-энергетических. Вид деятельности: 13.2 — Добыча руд цветных металлов, кроме урановой и ториевой руд); </w:t>
            </w:r>
          </w:p>
          <w:p w:rsidR="0080538D" w:rsidRPr="00D10C4F" w:rsidRDefault="0080538D" w:rsidP="00D10C4F">
            <w:pPr>
              <w:pStyle w:val="ListParagraph1"/>
              <w:tabs>
                <w:tab w:val="left" w:pos="1080"/>
              </w:tabs>
              <w:spacing w:after="0" w:line="240" w:lineRule="auto"/>
              <w:ind w:left="0"/>
              <w:jc w:val="both"/>
              <w:rPr>
                <w:rStyle w:val="red"/>
                <w:rFonts w:ascii="Times New Roman" w:hAnsi="Times New Roman"/>
                <w:sz w:val="24"/>
                <w:szCs w:val="24"/>
              </w:rPr>
            </w:pPr>
            <w:r w:rsidRPr="00D10C4F">
              <w:rPr>
                <w:rStyle w:val="red"/>
                <w:rFonts w:ascii="Times New Roman" w:hAnsi="Times New Roman"/>
                <w:sz w:val="24"/>
                <w:szCs w:val="24"/>
              </w:rPr>
              <w:t>- Раздел D. Обрабатывающие производства. (Подраздел DJ. Металлургическое производство и производство готовых металлических изделий. Вид деятельности: 27.4 — Производство цветных металлов).</w:t>
            </w:r>
          </w:p>
          <w:p w:rsidR="0080538D" w:rsidRPr="00D10C4F" w:rsidRDefault="0080538D" w:rsidP="00D10C4F">
            <w:pPr>
              <w:pStyle w:val="ListParagraph1"/>
              <w:tabs>
                <w:tab w:val="left" w:pos="1080"/>
              </w:tabs>
              <w:spacing w:after="0" w:line="240" w:lineRule="auto"/>
              <w:ind w:left="0"/>
              <w:jc w:val="both"/>
              <w:rPr>
                <w:rStyle w:val="red"/>
                <w:rFonts w:ascii="Times New Roman" w:hAnsi="Times New Roman"/>
                <w:sz w:val="24"/>
                <w:szCs w:val="24"/>
              </w:rPr>
            </w:pPr>
          </w:p>
          <w:p w:rsidR="0080538D" w:rsidRPr="00D10C4F" w:rsidRDefault="0080538D" w:rsidP="00D10C4F">
            <w:pPr>
              <w:pStyle w:val="ListParagraph1"/>
              <w:tabs>
                <w:tab w:val="left" w:pos="1080"/>
              </w:tabs>
              <w:spacing w:after="0" w:line="240" w:lineRule="auto"/>
              <w:ind w:left="0"/>
              <w:jc w:val="both"/>
              <w:rPr>
                <w:rStyle w:val="red"/>
                <w:rFonts w:ascii="Times New Roman" w:hAnsi="Times New Roman"/>
                <w:b/>
                <w:sz w:val="24"/>
                <w:szCs w:val="24"/>
              </w:rPr>
            </w:pPr>
            <w:r w:rsidRPr="00D10C4F">
              <w:rPr>
                <w:rStyle w:val="red"/>
                <w:rFonts w:ascii="Times New Roman" w:hAnsi="Times New Roman"/>
                <w:b/>
                <w:sz w:val="24"/>
                <w:szCs w:val="24"/>
              </w:rPr>
              <w:t>Вклад:</w:t>
            </w:r>
          </w:p>
          <w:p w:rsidR="0080538D" w:rsidRPr="00D10C4F" w:rsidRDefault="0080538D" w:rsidP="00D10C4F">
            <w:pPr>
              <w:pStyle w:val="ListParagraph1"/>
              <w:tabs>
                <w:tab w:val="left" w:pos="1080"/>
              </w:tabs>
              <w:spacing w:after="0" w:line="240" w:lineRule="auto"/>
              <w:ind w:left="0"/>
              <w:jc w:val="both"/>
              <w:rPr>
                <w:rStyle w:val="red"/>
                <w:rFonts w:ascii="Times New Roman" w:hAnsi="Times New Roman"/>
                <w:sz w:val="24"/>
                <w:szCs w:val="24"/>
              </w:rPr>
            </w:pPr>
            <w:r w:rsidRPr="00D10C4F">
              <w:rPr>
                <w:rStyle w:val="red"/>
                <w:rFonts w:ascii="Times New Roman" w:hAnsi="Times New Roman"/>
                <w:sz w:val="24"/>
                <w:szCs w:val="24"/>
              </w:rPr>
              <w:t>Доля продукции комплекса в стоимостном объеме промышленного производства Красноярского края составляет 48,8% (добыча металлических руд – 2,4%, металлургическое производство – 46,4%). Горно-металлургические предприятия обеспечивают более 70% регионального экспорта. Доля занятых на предприятиях металлургического комплекса составляет 6 % от общей численности населения, занятого в экономике региона. В России край занимает ведущие позиции по производству никеля (более 90%), меди (более 40%), первичного алюминия (до 27%), металлов платиновой группы (98%), свинцового концентрата (более 50%), золота (около 20%). Как поставщик цветных и благородных металлов комплекс имеет не только федеральное, но и мировое значение.</w:t>
            </w:r>
          </w:p>
          <w:p w:rsidR="0080538D" w:rsidRPr="00D10C4F" w:rsidRDefault="0080538D" w:rsidP="00D10C4F">
            <w:pPr>
              <w:spacing w:after="0" w:line="240" w:lineRule="auto"/>
              <w:jc w:val="both"/>
              <w:rPr>
                <w:rFonts w:ascii="Times New Roman" w:hAnsi="Times New Roman"/>
                <w:sz w:val="24"/>
                <w:szCs w:val="24"/>
              </w:rPr>
            </w:pPr>
          </w:p>
        </w:tc>
        <w:tc>
          <w:tcPr>
            <w:tcW w:w="3854" w:type="dxa"/>
          </w:tcPr>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i/>
                <w:sz w:val="24"/>
                <w:szCs w:val="24"/>
              </w:rPr>
              <w:t>3 «ядра» данного кластера</w:t>
            </w:r>
            <w:r w:rsidRPr="00D10C4F">
              <w:rPr>
                <w:rFonts w:ascii="Times New Roman" w:hAnsi="Times New Roman"/>
                <w:sz w:val="24"/>
                <w:szCs w:val="24"/>
              </w:rPr>
              <w:t>: Южная (добыча на Артемовских рудниках и рудниках Евразхолдинга), Центральная (переработка г.Красноярск, предприятия РУСАЛа, а также г. Ачинск- АГК), Северная зона (Норильский ГМК и золоторудные месторождения Северо-Енисейского района).</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Преимущества: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высокий спрос в мире на цветные, черные металлы и продукты их передела, достаточно качественная сырьевая база края с высокой обеспеченностью запасов руд цветных, благородных, легирующих и черных металлов.</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наличие достаточных и относительно дешевых энергоресурсов.</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привязка к новым генерирующим мощностям, развивающемуся электросетевому хозяйству и дорожно–транспортной инфраструктуре, что определит повышение инвестиционной привлекательности разработки месторождений и создания металлургических производств.</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развитие Приангарского центра связано с завершением строительства и полным вводом в эксплуатацию гидроагрегатов Богучанской ГЭС и перспективой строительства Нижнеангарской ГЭС, созданием электросетевой и дорожной инфраструктуры. Формирование горно-металлургических центров на юге и востоке края будет опираться на развитие энергосетевой и дорожной инфраструктуры, включая проект строительства железнодорожной линии Кызыл–Курагино.</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i/>
                <w:sz w:val="24"/>
                <w:szCs w:val="24"/>
              </w:rPr>
              <w:t>Риски:</w:t>
            </w:r>
            <w:r w:rsidRPr="00D10C4F">
              <w:rPr>
                <w:rFonts w:ascii="Times New Roman" w:hAnsi="Times New Roman"/>
                <w:sz w:val="24"/>
                <w:szCs w:val="24"/>
              </w:rPr>
              <w:t>При наличии весомых факторов конкурентоспособности комплекса, низкий уровень внутреннего спроса на металлы и их сплавы, производимые в крае, формирует риски высокой зависимости комплекса от объемов экспортных поставок, колебания мировых цен на цветные металлы, включая их критическое снижение до уровня себестоимости выпуска продукции и ниже.</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Направления развития:</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увеличение глубины переработки сырья, развитие энергетической и транспортной инфраструктуры в районах нового освоения.</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развитие сырьевой базы Заполярного филиала ГМК «Норникель», развитиеБогучанского алюминиевого завода. В период 2015–2030 гг. преимущественными проектами на территории края в этом варианте станут проекты сырьевого сектора и первых переделов (медно–никелевая, свинцово–цинковая, золотодобывающая промышленность).</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внедрение современных технологий добычи и обогащения сырья (в т.ч. комплексных руд), развитие высоко– и среднетехнологичных производств на основе существующих и новых сырьевых переделов.</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создание горно-добывающих предприятий ГК «Русская платина», увеличению добычи свинцово-цинковых руд Горевского месторождения, развитию золотодобычи в Северо-Енисейском и Мотыгинскому районах и на юге края, освоению медно–никелевых месторождений Кингашского рудного узла; </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модернизация мощностей Красноярского металлургического завода и расширение ассортимента алюминиевой передельной продукции;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вывод на проектную мощность производства полиметаллического кремния в Железногорске (3600 тонн поликремния в год);</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увеличение на ОАО «Красцветмет» объемов производства катализаторных систем из сплавов драгоценных металлов, химических соединений благородных металлов и создание на базе «Красцветмета» производства лекарственных субстанций противоопухолевых препаратов на основе металлов платиновой группы по стандартам GMP;</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развитие научно–образовательного комплекса (создание новой функциональной структуры образовательного комплекса края, ориентированной на стратегическую цель развития региона – формирование в крае постиндустриальной экономики с современной инфраструктурой);- разработка новых подходов к системе подготовки производственных кадров, развитие научных исследований, создание научных школ по современным научно–техническим направлениям в горно–металлургической отрасли.</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p>
        </w:tc>
        <w:tc>
          <w:tcPr>
            <w:tcW w:w="3854" w:type="dxa"/>
          </w:tcPr>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К 2018 году добыча руды в Заполярном филиале ГМК «Норильский Никель» возрастет до 18,5-19 млн.тонн. Для обеспечения переработки возрастающих объемов горной массы и повышения содержания полезных компонентов в выпускаемых концентратах предусматривается </w:t>
            </w:r>
            <w:r w:rsidRPr="00D10C4F">
              <w:rPr>
                <w:rFonts w:ascii="Times New Roman" w:hAnsi="Times New Roman"/>
                <w:b/>
                <w:sz w:val="24"/>
                <w:szCs w:val="24"/>
              </w:rPr>
              <w:t>создание современного обогатительного комплекса мирового уровня</w:t>
            </w:r>
            <w:r w:rsidRPr="00D10C4F">
              <w:rPr>
                <w:rFonts w:ascii="Times New Roman" w:hAnsi="Times New Roman"/>
                <w:sz w:val="24"/>
                <w:szCs w:val="24"/>
              </w:rPr>
              <w:t xml:space="preserve"> на базе Талнахской обогатительной фабрики. С этой целью в период до 2017 года будет осуществлена </w:t>
            </w:r>
            <w:r w:rsidRPr="00D10C4F">
              <w:rPr>
                <w:rFonts w:ascii="Times New Roman" w:hAnsi="Times New Roman"/>
                <w:b/>
                <w:sz w:val="24"/>
                <w:szCs w:val="24"/>
              </w:rPr>
              <w:t>модернизация предприятия</w:t>
            </w:r>
            <w:r w:rsidRPr="00D10C4F">
              <w:rPr>
                <w:rFonts w:ascii="Times New Roman" w:hAnsi="Times New Roman"/>
                <w:sz w:val="24"/>
                <w:szCs w:val="24"/>
              </w:rPr>
              <w:t xml:space="preserve"> с увеличением мощности производства с текущих 7,7 млн.тонн в год до 10,2 млн.тонн и повышением содержания никеля в производимом концентрате с 9,4% до 13,1%.</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модернизация Медного завода.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Норильск станет центром по переработке меди.  Планируемое развитие ЗФ ГМК «Норильский никель» позволит повысить технологическую эффективность горнодобывающего и металлургического производств, стабилизировать достигнутые объемы выпуска никеля, меди и металлов платиновой группы.</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Ведущими предприятиями края в секторе переработки и выпуска алюминиевой продукции (ООО «КраМЗ», ООО «Литейно-Прессовый завод «Сегал», ООО «ЛМЗ «СКАД», ООО «КиК») предусматривается увеличение объемов и расширение ассортимента выпускаемой продукции: алюминиевых строительных профилей и конструкций, колесных дисков. ООО «КраМЗ» предусматривается также реализация инвестиционного проекта по созданию листопрокатного комплекса, ориентированного на производство изделий для авиационной и судостроительной отраслей с объемом производства на первом этапе 60 тыс.т проката в год с перспективой роста.</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В Юго-восточной зоне будет создано два новых металлургических центра: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 создаваемый в рамках проекта Ангаро-Енисейского кластера крупный </w:t>
            </w:r>
            <w:r w:rsidRPr="00D10C4F">
              <w:rPr>
                <w:rFonts w:ascii="Times New Roman" w:hAnsi="Times New Roman"/>
                <w:b/>
                <w:sz w:val="24"/>
                <w:szCs w:val="24"/>
              </w:rPr>
              <w:t>центр добычи и переработки медно–никелевых руд на базе месторождений Кингашского рудного узла</w:t>
            </w:r>
            <w:r w:rsidRPr="00D10C4F">
              <w:rPr>
                <w:rFonts w:ascii="Times New Roman" w:hAnsi="Times New Roman"/>
                <w:sz w:val="24"/>
                <w:szCs w:val="24"/>
              </w:rPr>
              <w:t xml:space="preserve"> со строительством металлургического комплекса (выпуск 45,1 тыс.т никеля и 15,1 тыс.т меди при выходе на проектную мощность в 2022 году). С учетом высокой энергоемкости металлургического производства для его размещения может быть использована территория ЗАТО Зеленогорск.</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w:t>
            </w:r>
            <w:r w:rsidRPr="00D10C4F">
              <w:rPr>
                <w:rFonts w:ascii="Times New Roman" w:hAnsi="Times New Roman"/>
                <w:b/>
                <w:sz w:val="24"/>
                <w:szCs w:val="24"/>
              </w:rPr>
              <w:t>горнодобывающий центр на территории Курагинского района</w:t>
            </w:r>
            <w:r w:rsidRPr="00D10C4F">
              <w:rPr>
                <w:rFonts w:ascii="Times New Roman" w:hAnsi="Times New Roman"/>
                <w:sz w:val="24"/>
                <w:szCs w:val="24"/>
              </w:rPr>
              <w:t xml:space="preserve"> в зоне влияния проектируемой железной дороги Курагино-Кызыл, специализирующийся преимущественно на добыче и обогащении руд черных металлов, с перспективами создания металлургического производства. В период до 2025 года формирование центра может базироваться на модернизации обогатительного производства наКраснокаменском месторождении, в более отдаленной перспективе – на освоении железорудных месторождений Казырской группы с созданием на их базе полного передельного цикла от добычи руды до выпуска высококачественных железорудных концентратов экспортных кондиций и производства ассортиментного ряда легированных сталей. Помимо развития сырьевой базы черной металлургии в пределах центра предусматривается также развитие добычи рудного и россыпного золота.</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Северный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Ввод новых мощностей по добыче и переработке медно-никелевой руды, повышение эффективности производства, реконструкция генерирующих мощностей Норильского энергорайона (реконструкция турбин ТЭЦ и гидросилового оборудования) (ГМК «Норильский никель») - 2009-2015.</w:t>
            </w: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Восточный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sz w:val="24"/>
                <w:szCs w:val="24"/>
              </w:rPr>
              <w:t xml:space="preserve">- </w:t>
            </w:r>
            <w:r w:rsidRPr="00D10C4F">
              <w:rPr>
                <w:rFonts w:ascii="Times New Roman" w:hAnsi="Times New Roman"/>
                <w:sz w:val="24"/>
                <w:szCs w:val="24"/>
              </w:rPr>
              <w:t>Освоение медно-никелевых месторождений Кингашского рудного узла (ГМК «Норильский никель») - 2008 – 2018.</w:t>
            </w: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Приангарский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Увеличение объемов добычи руды и производства золота на Олимпиадинском и Оленьем месторождениях (2009-2029).</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месторождения "Титимухта", строительство карьера (2009-2022).</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Реконструкция золотоизвлекательной фабрики с увеличением объемов добычи и переработки руды (ООО "Соврудник) - 2008-2014.</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месторождения «Ведуга» со строительством карьера и золотоизвлекательной фабрики (ГРК «Амикан» (Англо Голд)) - 2010-2020.</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Увеличение объемов добычи руды на месторождении «Бабушкина Гора» со строительством золотоизвлекательной фабрики (ЗДК "Золотая звезда") - 2008- 2020.</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месторождения "Боголюбовское" со строительством карьера и золотоизвлекательной фабрики.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месторождения золота "Самсон" со строительством карьера и золотоизвлекательной фабрики.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Увеличение добычи и обогащения свинцово-цинковой руды на Горевском ГОКе.</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Нижне-Ангарской группы железорудных месторождений со строительством карьеров и ГОКа.</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Южный макрорайон:</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b/>
                <w:sz w:val="24"/>
                <w:szCs w:val="24"/>
              </w:rPr>
              <w:t xml:space="preserve">- </w:t>
            </w:r>
            <w:r w:rsidRPr="00D10C4F">
              <w:rPr>
                <w:rFonts w:ascii="Times New Roman" w:hAnsi="Times New Roman"/>
                <w:sz w:val="24"/>
                <w:szCs w:val="24"/>
              </w:rPr>
              <w:t>Освоение месторождений «Сейбинское» и «Лысогорское»</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разработка комплексной технологии качественно новых видов продукции для нефтегазовой отрасли.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разработка высокоэффективной плазменной поверхностной обработки, наплавки и нанесения покрытия.</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разработка и освоения технологий  из новых конструкционных сталей.</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разработка технологии производства крупных слитков из конструкционных высокопрочных сталей.</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создание азотсодержащих низко- и высоколегированных сталей нового поколения и промышленных технологий их производства.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разработка комплекса работ по обогащению передела черной и цветной металлургии.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комплекс работ по совершенствованию добыче металлических руд.</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разработка технологий переработки техногенного и вторичного сырья, содержащего цветные и редкие металлы.</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проведение технологической модернизации предприятий отрасли.</w:t>
            </w:r>
          </w:p>
        </w:tc>
        <w:tc>
          <w:tcPr>
            <w:tcW w:w="3855" w:type="dxa"/>
          </w:tcPr>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Инновационное развитие сектора по переработке металлов платиновой группы и золота на базе ОАО «Красцветмет» предусматривает расширение и диверсификацию производства с выпуском на основе МПГ новых видов продукции, в частности лекарственных субстанций и медицинских препаратов, создающих основу для формирования на территории края нового биомедицинского кластера.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 реализация проекта создания в г.Железногорске «солнечного кластера» и дозагрузка имеющихся мощностей ФГУП «Германий».</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развитие в крае переработки добываемых в России руд редкоземельных металлов, в результате чего регион может стать ведущим российским центром по производству и поставке на отечественный и мировые рынки металлов редкоземельной группы.</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 разработка технологий и микро- и низколегированных хладостойких сталей с высокими показателями стойкости к процессам коррозии для нефтепромысловых сетей, систем тепло- и водоснабжения, строительных конструкций и др.</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разработка и освоение производства автолистовых сталей с уникальным сочетанием показателей прочности и пластичности.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разработка технологии производства коррозионно-стойкого покрытия для строительной, автомобильной и др. отраслей.</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создание нового класса огнестойких строительных сталей.</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разработка технологии получения нано-структурированных диффузионных металлических покрытий, обеспечивающих получение принципиально новых качественных показателей металлопродукции массового производства.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разработка технологии получения нано-структурированных покрытий методов вакуумного нанесения на углеродистой стали.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разработка технологии производства нового поколения коррозионно-стойких биметаллов.</w:t>
            </w:r>
          </w:p>
          <w:p w:rsidR="0080538D" w:rsidRPr="00D10C4F" w:rsidRDefault="0080538D" w:rsidP="00D10C4F">
            <w:pPr>
              <w:pStyle w:val="ListParagraph"/>
              <w:numPr>
                <w:ilvl w:val="0"/>
                <w:numId w:val="4"/>
              </w:numPr>
              <w:rPr>
                <w:sz w:val="24"/>
                <w:szCs w:val="24"/>
              </w:rPr>
            </w:pPr>
            <w:r w:rsidRPr="00D10C4F">
              <w:rPr>
                <w:sz w:val="24"/>
                <w:szCs w:val="24"/>
              </w:rPr>
              <w:t xml:space="preserve">Разработка биогеотехнологий  и технологий биогидрометаллургии </w:t>
            </w:r>
          </w:p>
          <w:p w:rsidR="0080538D" w:rsidRPr="00D10C4F" w:rsidRDefault="0080538D" w:rsidP="00D10C4F">
            <w:pPr>
              <w:spacing w:after="0" w:line="240" w:lineRule="auto"/>
              <w:ind w:left="360"/>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p>
        </w:tc>
      </w:tr>
      <w:tr w:rsidR="0080538D" w:rsidRPr="00D10C4F" w:rsidTr="00D10C4F">
        <w:tc>
          <w:tcPr>
            <w:tcW w:w="3854" w:type="dxa"/>
          </w:tcPr>
          <w:p w:rsidR="0080538D" w:rsidRPr="00623486" w:rsidRDefault="0080538D" w:rsidP="00623486">
            <w:pPr>
              <w:spacing w:after="0" w:line="240" w:lineRule="auto"/>
              <w:rPr>
                <w:rFonts w:ascii="Times New Roman" w:hAnsi="Times New Roman"/>
                <w:b/>
                <w:sz w:val="24"/>
                <w:szCs w:val="24"/>
                <w:highlight w:val="yellow"/>
              </w:rPr>
            </w:pPr>
            <w:r w:rsidRPr="00623486">
              <w:rPr>
                <w:rFonts w:ascii="Times New Roman" w:hAnsi="Times New Roman"/>
                <w:b/>
                <w:sz w:val="24"/>
                <w:szCs w:val="24"/>
                <w:highlight w:val="yellow"/>
              </w:rPr>
              <w:t>Машиностроительный комплекс</w:t>
            </w: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Комплекс представлен видами деятельности, входящими в раздел D «Обрабатывающие производства» ОКВЭД:</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—Подраздел DK. Производство машин и оборудования;</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—Подраздел DL. Производство электрооборудования, электронного и оптического оборудования;</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—Подраздел DM. Производство транспортных средств и оборудования.</w:t>
            </w: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b/>
                <w:i/>
                <w:sz w:val="24"/>
                <w:szCs w:val="24"/>
                <w:highlight w:val="yellow"/>
              </w:rPr>
              <w:t>Вклад</w:t>
            </w:r>
            <w:r w:rsidRPr="00623486">
              <w:rPr>
                <w:rFonts w:ascii="Times New Roman" w:hAnsi="Times New Roman"/>
                <w:sz w:val="24"/>
                <w:szCs w:val="24"/>
                <w:highlight w:val="yellow"/>
              </w:rPr>
              <w:t xml:space="preserve"> машиностроительных видов деятельности в региональное промышленное производство составляет 5,6%, обеспечивая машиностроению четвертое место в промышленном комплексе края. </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На предприятиях машиностроения трудится 4,7% от общей численности занятых в экономике края, что сопоставимо с занятостью в металлургическом и топливно-энергетическом комплексах, однако объемы производимой продукции в машиностроении в несколько раз меньше.</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Относительно структуры от-груженной продукции машино-строительного комплекса Красноярского края необходимо отметить, что наибольший удельный вес приходится на производство машин и оборудования (около 68%), на производство электрооборудования приходится около 12 %, на производство транспортных средств и оборудования - около 20 %.</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Так, в общероссийском производстве, по отгруженной продукции машиностроения доля Красноярского края составляет около 5%.</w:t>
            </w:r>
          </w:p>
        </w:tc>
        <w:tc>
          <w:tcPr>
            <w:tcW w:w="3854" w:type="dxa"/>
          </w:tcPr>
          <w:p w:rsidR="0080538D" w:rsidRPr="00623486" w:rsidRDefault="0080538D" w:rsidP="00623486">
            <w:pPr>
              <w:spacing w:after="0" w:line="240" w:lineRule="auto"/>
              <w:rPr>
                <w:rFonts w:ascii="Times New Roman" w:hAnsi="Times New Roman"/>
                <w:b/>
                <w:i/>
                <w:sz w:val="24"/>
                <w:szCs w:val="24"/>
                <w:highlight w:val="yellow"/>
              </w:rPr>
            </w:pPr>
            <w:r w:rsidRPr="00623486">
              <w:rPr>
                <w:rFonts w:ascii="Times New Roman" w:hAnsi="Times New Roman"/>
                <w:b/>
                <w:i/>
                <w:sz w:val="24"/>
                <w:szCs w:val="24"/>
                <w:highlight w:val="yellow"/>
              </w:rPr>
              <w:t>Преимущества:</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w:t>
            </w:r>
            <w:r w:rsidRPr="00623486">
              <w:rPr>
                <w:rFonts w:ascii="Times New Roman" w:hAnsi="Times New Roman"/>
                <w:sz w:val="24"/>
                <w:szCs w:val="24"/>
                <w:highlight w:val="yellow"/>
              </w:rPr>
              <w:tab/>
              <w:t xml:space="preserve">ведущее положение машиностроительных предприятий края </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xml:space="preserve">на российском и мировом рынках по отдельным наукоемким </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и высокотехнологичным направлениям (производство навигационных систем и средств связи);</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w:t>
            </w:r>
            <w:r w:rsidRPr="00623486">
              <w:rPr>
                <w:rFonts w:ascii="Times New Roman" w:hAnsi="Times New Roman"/>
                <w:sz w:val="24"/>
                <w:szCs w:val="24"/>
                <w:highlight w:val="yellow"/>
              </w:rPr>
              <w:tab/>
              <w:t>наличие в крае мощной горно-добывающей, металлургической промышленности и энергетики, как потребителей машиностроительной продукции;</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w:t>
            </w:r>
            <w:r w:rsidRPr="00623486">
              <w:rPr>
                <w:rFonts w:ascii="Times New Roman" w:hAnsi="Times New Roman"/>
                <w:sz w:val="24"/>
                <w:szCs w:val="24"/>
                <w:highlight w:val="yellow"/>
              </w:rPr>
              <w:tab/>
              <w:t>развитая энергетическая и транспортная инфраструктура в регионах концентрации машиностроительных предприятий;</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w:t>
            </w:r>
            <w:r w:rsidRPr="00623486">
              <w:rPr>
                <w:rFonts w:ascii="Times New Roman" w:hAnsi="Times New Roman"/>
                <w:sz w:val="24"/>
                <w:szCs w:val="24"/>
                <w:highlight w:val="yellow"/>
              </w:rPr>
              <w:tab/>
              <w:t xml:space="preserve">имеющийся опыт в сфере машиностроительной деятельности </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и подготовки кадров для отрасли в высших и средних специальных учреждениях края, создающий основу для возрождения регионального машиностроения.</w:t>
            </w: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b/>
                <w:i/>
                <w:sz w:val="24"/>
                <w:szCs w:val="24"/>
                <w:highlight w:val="yellow"/>
              </w:rPr>
            </w:pPr>
            <w:r w:rsidRPr="00623486">
              <w:rPr>
                <w:rFonts w:ascii="Times New Roman" w:hAnsi="Times New Roman"/>
                <w:b/>
                <w:i/>
                <w:sz w:val="24"/>
                <w:szCs w:val="24"/>
                <w:highlight w:val="yellow"/>
              </w:rPr>
              <w:t>Потенциально данные конкурентные преимущества могут быть усилены за счет:</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w:t>
            </w:r>
            <w:r w:rsidRPr="00623486">
              <w:rPr>
                <w:rFonts w:ascii="Times New Roman" w:hAnsi="Times New Roman"/>
                <w:sz w:val="24"/>
                <w:szCs w:val="24"/>
                <w:highlight w:val="yellow"/>
              </w:rPr>
              <w:tab/>
              <w:t>расширения производства продукции для традиционных отраслей специализации и развивающегося нефтегазового комплекса Красноярского края;</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w:t>
            </w:r>
            <w:r w:rsidRPr="00623486">
              <w:rPr>
                <w:rFonts w:ascii="Times New Roman" w:hAnsi="Times New Roman"/>
                <w:sz w:val="24"/>
                <w:szCs w:val="24"/>
                <w:highlight w:val="yellow"/>
              </w:rPr>
              <w:tab/>
              <w:t xml:space="preserve">развития новых сегментов специализации путем наращивания производства по отдельным видам продукции, слабо представленным </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xml:space="preserve">на рынках восточной части страны (в частности, производство оборудование для ТЭК, жилищно-коммунального хозяйства); </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w:t>
            </w:r>
            <w:r w:rsidRPr="00623486">
              <w:rPr>
                <w:rFonts w:ascii="Times New Roman" w:hAnsi="Times New Roman"/>
                <w:sz w:val="24"/>
                <w:szCs w:val="24"/>
                <w:highlight w:val="yellow"/>
              </w:rPr>
              <w:tab/>
              <w:t>выхода на зарубежные рынки, прежде всего рынки стран СНГ, которые с учетом территориальной близости и технологической связанности, исторически сложившейся еще в СССР, имеют перспективу развития;</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w:t>
            </w:r>
            <w:r w:rsidRPr="00623486">
              <w:rPr>
                <w:rFonts w:ascii="Times New Roman" w:hAnsi="Times New Roman"/>
                <w:sz w:val="24"/>
                <w:szCs w:val="24"/>
                <w:highlight w:val="yellow"/>
              </w:rPr>
              <w:tab/>
              <w:t>создание практикоориентированной модели подготовки кадров;</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w:t>
            </w:r>
            <w:r w:rsidRPr="00623486">
              <w:rPr>
                <w:rFonts w:ascii="Times New Roman" w:hAnsi="Times New Roman"/>
                <w:sz w:val="24"/>
                <w:szCs w:val="24"/>
                <w:highlight w:val="yellow"/>
              </w:rPr>
              <w:tab/>
              <w:t>формирования кадровых ресурсных центров для обеспечения подготовки высококвалифицированных специалистов и обеспечения машиностроительных организаций современным высокотехнологичным оборудованием.</w:t>
            </w: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b/>
                <w:i/>
                <w:sz w:val="24"/>
                <w:szCs w:val="24"/>
                <w:highlight w:val="yellow"/>
              </w:rPr>
            </w:pPr>
            <w:r w:rsidRPr="00623486">
              <w:rPr>
                <w:rFonts w:ascii="Times New Roman" w:hAnsi="Times New Roman"/>
                <w:b/>
                <w:i/>
                <w:sz w:val="24"/>
                <w:szCs w:val="24"/>
                <w:highlight w:val="yellow"/>
              </w:rPr>
              <w:t>Риски:</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w:t>
            </w:r>
            <w:r w:rsidRPr="00623486">
              <w:rPr>
                <w:rFonts w:ascii="Times New Roman" w:hAnsi="Times New Roman"/>
                <w:sz w:val="24"/>
                <w:szCs w:val="24"/>
                <w:highlight w:val="yellow"/>
              </w:rPr>
              <w:tab/>
              <w:t>модернизацией в базовых отраслях и машиностроении, в случае отсутствия или торможения которой будет формироваться новое технологическое отставание, как в промышленном комплексе в целом, так и в машиностроении края;</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w:t>
            </w:r>
            <w:r w:rsidRPr="00623486">
              <w:rPr>
                <w:rFonts w:ascii="Times New Roman" w:hAnsi="Times New Roman"/>
                <w:sz w:val="24"/>
                <w:szCs w:val="24"/>
                <w:highlight w:val="yellow"/>
              </w:rPr>
              <w:tab/>
              <w:t xml:space="preserve">темпами реализации инвестиционных проектов и степенью хозяйственной кооперации машиностроительных предприятий края </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с базовыми отраслями экономики - потребителями продукции комплекса;</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w:t>
            </w:r>
            <w:r w:rsidRPr="00623486">
              <w:rPr>
                <w:rFonts w:ascii="Times New Roman" w:hAnsi="Times New Roman"/>
                <w:sz w:val="24"/>
                <w:szCs w:val="24"/>
                <w:highlight w:val="yellow"/>
              </w:rPr>
              <w:tab/>
              <w:t>темпами формирования инновационного научно-образовательного комплекса, обеспечивающего подготовку квалифицированных кадров для машиностроения края.</w:t>
            </w:r>
          </w:p>
          <w:p w:rsidR="0080538D" w:rsidRPr="00623486" w:rsidRDefault="0080538D" w:rsidP="00623486">
            <w:pPr>
              <w:spacing w:after="0" w:line="240" w:lineRule="auto"/>
              <w:rPr>
                <w:rFonts w:ascii="Times New Roman" w:hAnsi="Times New Roman"/>
                <w:sz w:val="24"/>
                <w:szCs w:val="24"/>
                <w:highlight w:val="yellow"/>
              </w:rPr>
            </w:pPr>
          </w:p>
        </w:tc>
        <w:tc>
          <w:tcPr>
            <w:tcW w:w="3854" w:type="dxa"/>
          </w:tcPr>
          <w:p w:rsidR="0080538D" w:rsidRPr="00623486" w:rsidRDefault="0080538D" w:rsidP="00623486">
            <w:pPr>
              <w:spacing w:after="0" w:line="240" w:lineRule="auto"/>
              <w:rPr>
                <w:rFonts w:ascii="Times New Roman" w:hAnsi="Times New Roman"/>
                <w:b/>
                <w:i/>
                <w:sz w:val="24"/>
                <w:szCs w:val="24"/>
                <w:highlight w:val="yellow"/>
              </w:rPr>
            </w:pPr>
            <w:r w:rsidRPr="00623486">
              <w:rPr>
                <w:rFonts w:ascii="Times New Roman" w:hAnsi="Times New Roman"/>
                <w:b/>
                <w:i/>
                <w:sz w:val="24"/>
                <w:szCs w:val="24"/>
                <w:highlight w:val="yellow"/>
              </w:rPr>
              <w:t>Инвестиционные проекты, реализуемые в рамках Федеральной космической программы России на 2006-2015 гг.:</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1) АО «ИСС»:</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реконструкция и тех.перевооружение корпусов 11, 4Б для создания «чистых технологических зон» в обеспечение изготовления современных образцов ракетно-космической техники.</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реконструкция и тех. перевооружение зданий и объектов для создания Центрального КИП гражданской компоненты Единого ГосНАКУ КА и измерений.</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реконструкция и тех.перевооружение объектов энергоснабжения.</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2) АО «Красмаш»</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xml:space="preserve">- реконструкция и тех.перевооружение участков производства. </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реконструкция и тех.перевооружение объектов энергоснабжения.</w:t>
            </w: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b/>
                <w:i/>
                <w:sz w:val="24"/>
                <w:szCs w:val="24"/>
                <w:highlight w:val="yellow"/>
              </w:rPr>
            </w:pPr>
            <w:r w:rsidRPr="00623486">
              <w:rPr>
                <w:rFonts w:ascii="Times New Roman" w:hAnsi="Times New Roman"/>
                <w:b/>
                <w:i/>
                <w:sz w:val="24"/>
                <w:szCs w:val="24"/>
                <w:highlight w:val="yellow"/>
              </w:rPr>
              <w:t>Инвестиционные проекты, реализуемые в рамках Федеральной целевой программы «Развитие электронной компонентной базы и радиоэлектроники» на 2012-2015 гг.:</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1) АО «ИСС»:</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реконструкция и тех.перевооружение с целью создания производственной линии для изготовления облегченных сверхвысокочастотных волноводов миллиметрового диапазона.</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реконструкция и тех.перевооружение для создания базового центра системного проектирования и технического перевооружения действующего производства.</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2) ОАО НПП «Радиосвязь»</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техническое перевооружение участка микроэлектроники.</w:t>
            </w: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b/>
                <w:i/>
                <w:sz w:val="24"/>
                <w:szCs w:val="24"/>
                <w:highlight w:val="yellow"/>
              </w:rPr>
            </w:pPr>
            <w:r w:rsidRPr="00623486">
              <w:rPr>
                <w:rFonts w:ascii="Times New Roman" w:hAnsi="Times New Roman"/>
                <w:b/>
                <w:i/>
                <w:sz w:val="24"/>
                <w:szCs w:val="24"/>
                <w:highlight w:val="yellow"/>
              </w:rPr>
              <w:t>Инвестиционные проекты, реализуемые в рамках Федеральной целевой программы «Развитие оборонно-промышленного комплекса РФ» на 2012-2015 гг.:</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1) АО «ИСС»:</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реконструкция и техн. перевооружение корпуса 1 (АФУ) для создания рабочих мест сборки и испытаний крупногабаритных антенн.</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техн. перевооружение с частичной реконструкцией корпусов 1, 23, 27, 28 в обеспечение изготовления современных образцов ракетно-космической техники.</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техн. перевооружение производства для обеспечения измерения радиотехнических характеристик целевой аппаратуры.</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техн. перевооружение механообрабатывающего производства в обеспечение прецизионной механической обработки деталей и сборочных единиц, входящих в устройства исполнительной автоматики и элементов антенно-фидерных устройств Ка-диапазона.</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техн. перевооружение цеха по производству печатных плат и радиоэлектронной аппаратуры.</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техн. перевооружение производства для обеспечения производства изделий из полимерных композиционных материалов.</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техн. перевооружение сборочного и испытательного производства (корпус 21) 1 этаж.</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2) ОАО НПП «Радиосвязь»:</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техн. перевооружение участков подготовки производства, монтажа, проведение технических и климатических испытаний.</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3) АО «ЦКБ «Геофизика»</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реконструкция и техническое перевооружение опытного производства.</w:t>
            </w: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b/>
                <w:i/>
                <w:sz w:val="24"/>
                <w:szCs w:val="24"/>
                <w:highlight w:val="yellow"/>
              </w:rPr>
            </w:pPr>
            <w:r w:rsidRPr="00623486">
              <w:rPr>
                <w:rFonts w:ascii="Times New Roman" w:hAnsi="Times New Roman"/>
                <w:b/>
                <w:i/>
                <w:sz w:val="24"/>
                <w:szCs w:val="24"/>
                <w:highlight w:val="yellow"/>
              </w:rPr>
              <w:t>Инвестиционные проекты, реализуемые в рамках Федеральной целевой программы «Поддержание, развитие и использование систем ГЛОНАСС» на 2012-2015 гг.:</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1) АО «ИСС»:</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реконструкция и тех.перевооружение корпусов 21А, 8, 30 для создания участка сборки и испытаний крупногабаритных солнечных батарей в целях повышения надежности и качества выпускаемых КА-системы ГЛОНАСС.</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реконструкция и тех.перевооружение участков электроиспытаний, производства волноводов, малогабаритных АФУ, полимерных композиционных материалов и механообрабатывающего производства в целях повышения надежности и качества выпускаемых КА системы «ГЛОНАСС».</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реконструкция и тех.перевооружение ментально-стендовой базы наземной отработки элементов КА в целях повышения надежности и качества выпускаемых КА системы.</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2) ОАО НПП «Радиосвязь»:</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реконструкция и техперевооружение для подготовки производства изделий спутниковой связи комплекса «Я».</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оборудование для производства строительных материалов.</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строительство элеваторов на территории Сибири и зерновых терминалов в портах Дальнего Востока, предприятий по переработке льна, льноволокна, кожи и шерсти;</w:t>
            </w:r>
          </w:p>
        </w:tc>
        <w:tc>
          <w:tcPr>
            <w:tcW w:w="3855" w:type="dxa"/>
          </w:tcPr>
          <w:p w:rsidR="0080538D" w:rsidRPr="00623486" w:rsidRDefault="0080538D" w:rsidP="00623486">
            <w:pPr>
              <w:spacing w:after="0" w:line="240" w:lineRule="auto"/>
              <w:rPr>
                <w:rFonts w:ascii="Times New Roman" w:hAnsi="Times New Roman"/>
                <w:b/>
                <w:sz w:val="24"/>
                <w:szCs w:val="24"/>
                <w:highlight w:val="yellow"/>
              </w:rPr>
            </w:pPr>
            <w:r w:rsidRPr="00623486">
              <w:rPr>
                <w:rFonts w:ascii="Times New Roman" w:hAnsi="Times New Roman"/>
                <w:b/>
                <w:sz w:val="24"/>
                <w:szCs w:val="24"/>
                <w:highlight w:val="yellow"/>
              </w:rPr>
              <w:t>3 основные группы предприятий машиностроения, перспективы развития которых существенным образом различаются:</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1) предприятия высокотехнологичного и наукоемкого сектора,</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xml:space="preserve">продукция которых востребована на общероссийском и – в ряде случаев – намировом рынке. </w:t>
            </w:r>
            <w:r>
              <w:rPr>
                <w:rFonts w:ascii="Times New Roman" w:hAnsi="Times New Roman"/>
                <w:sz w:val="24"/>
                <w:szCs w:val="24"/>
                <w:highlight w:val="yellow"/>
              </w:rPr>
              <w:br/>
            </w:r>
            <w:r w:rsidRPr="00623486">
              <w:rPr>
                <w:rFonts w:ascii="Times New Roman" w:hAnsi="Times New Roman"/>
                <w:sz w:val="24"/>
                <w:szCs w:val="24"/>
                <w:highlight w:val="yellow"/>
              </w:rPr>
              <w:t xml:space="preserve">К данной группе относятся </w:t>
            </w:r>
            <w:r>
              <w:rPr>
                <w:rFonts w:ascii="Times New Roman" w:hAnsi="Times New Roman"/>
                <w:sz w:val="24"/>
                <w:szCs w:val="24"/>
                <w:highlight w:val="yellow"/>
              </w:rPr>
              <w:br/>
            </w:r>
            <w:r w:rsidRPr="00623486">
              <w:rPr>
                <w:rFonts w:ascii="Times New Roman" w:hAnsi="Times New Roman"/>
                <w:sz w:val="24"/>
                <w:szCs w:val="24"/>
                <w:highlight w:val="yellow"/>
              </w:rPr>
              <w:t>АО «Информационные</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xml:space="preserve">спутниковые системы им. академика М.Ф.Решетнева», </w:t>
            </w:r>
            <w:r>
              <w:rPr>
                <w:rFonts w:ascii="Times New Roman" w:hAnsi="Times New Roman"/>
                <w:sz w:val="24"/>
                <w:szCs w:val="24"/>
                <w:highlight w:val="yellow"/>
              </w:rPr>
              <w:br/>
              <w:t>ОАО</w:t>
            </w:r>
            <w:r w:rsidRPr="00623486">
              <w:rPr>
                <w:rFonts w:ascii="Times New Roman" w:hAnsi="Times New Roman"/>
                <w:sz w:val="24"/>
                <w:szCs w:val="24"/>
                <w:highlight w:val="yellow"/>
              </w:rPr>
              <w:t xml:space="preserve"> «НПП«Радиосвязь», </w:t>
            </w:r>
            <w:r>
              <w:rPr>
                <w:rFonts w:ascii="Times New Roman" w:hAnsi="Times New Roman"/>
                <w:sz w:val="24"/>
                <w:szCs w:val="24"/>
                <w:highlight w:val="yellow"/>
              </w:rPr>
              <w:br/>
            </w:r>
            <w:r w:rsidRPr="00623486">
              <w:rPr>
                <w:rFonts w:ascii="Times New Roman" w:hAnsi="Times New Roman"/>
                <w:sz w:val="24"/>
                <w:szCs w:val="24"/>
                <w:highlight w:val="yellow"/>
              </w:rPr>
              <w:t xml:space="preserve">АО «ЦКБ «Геофизика», </w:t>
            </w:r>
            <w:r>
              <w:rPr>
                <w:rFonts w:ascii="Times New Roman" w:hAnsi="Times New Roman"/>
                <w:sz w:val="24"/>
                <w:szCs w:val="24"/>
                <w:highlight w:val="yellow"/>
              </w:rPr>
              <w:br/>
            </w:r>
            <w:r w:rsidRPr="00623486">
              <w:rPr>
                <w:rFonts w:ascii="Times New Roman" w:hAnsi="Times New Roman"/>
                <w:sz w:val="24"/>
                <w:szCs w:val="24"/>
                <w:highlight w:val="yellow"/>
              </w:rPr>
              <w:t>АО «Красмаш», как в части выпуска продукции военного назначения, так и по ряду производимой гражданской продукции. Предприятия этой группы, как правило, входят в состав крупных российских интегрированных структур. С учетом имеющегося задела и высокой конкурентоспособности данных предприятий в стратегической перспективе ставится задача сохранения и укрепления их</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позиций как лидеров на российском и мировом рынках.</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2) предприятия традиционного машиностроения, для которых в новых экономических условиях стратегической задачей является модернизация и диверсификация производства, расширение рынков сбыта с целью интеграции в современную экономическую систему;</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3) новые предприятия сервисного обслуживания, ремонтные и инструментальные предприятия, специализирующиеся на создании и производстве инновационных видов машин и оборудования для отраслей специализации края. Специфика деятельности этих организаций заключается в том, что они работают в непосредственном контакте с базовыми отраслями</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и способны оперативно решать возникающие задачи, в т.ч. по ремонту нестандартного оборудования, разработке и изготовлению новых образцов оборудования и приборов, новых технологических и аппаратных решений для решения специфических производственных задач. В перспективе развитие этой группы предприятий должно обеспечивать значительную часть потребностей базовых отраслей края в специализированной машиностроительной продукции.</w:t>
            </w: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создание новых видов материалов, изоляции, оборудования (токоограничители, управляемые устройства, изоляторы-разрядники, оборудования на высокотемпературной сверхпроводимости, новые среды дугогашения и изоляции, силовая электроника и т.д.) для ТЭК.</w:t>
            </w: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разработка и выпуск нового поколения оборудования и измерительной аппаратуры для реализации на различных стадиях геолого-разведочного процесса высокоточных и информативных технологий геофизических исследований.</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разработка программного обеспечения для обработки геолого-геофизической информации и построения цифровых моделей геологических объектов различного иерархического уровня.</w:t>
            </w: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разработка технологии и оборудования, обеспечивающих высокоэффективную разработку трудноизвлекаемых запасов нефти.</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разработка технологических комплексов по добыче и бурению на шельфе морей и континентального склона.</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разработка и внедрение модульных погрузочно-выгрузочных комплексов для механизированной выгрузки-погрузки вагонов нового поколения.</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создание конкурентоспособных образцов сельскохозяйственной техники и оборудования, отвечающих современным требованиям безопасности труда и международным стандартам.</w:t>
            </w:r>
          </w:p>
          <w:p w:rsidR="0080538D" w:rsidRPr="00623486" w:rsidRDefault="0080538D" w:rsidP="00623486">
            <w:pPr>
              <w:spacing w:after="0" w:line="240" w:lineRule="auto"/>
              <w:rPr>
                <w:rFonts w:ascii="Times New Roman" w:hAnsi="Times New Roman"/>
                <w:sz w:val="24"/>
                <w:szCs w:val="24"/>
                <w:highlight w:val="yellow"/>
              </w:rPr>
            </w:pPr>
            <w:r w:rsidRPr="00623486">
              <w:rPr>
                <w:rFonts w:ascii="Times New Roman" w:hAnsi="Times New Roman"/>
                <w:sz w:val="24"/>
                <w:szCs w:val="24"/>
                <w:highlight w:val="yellow"/>
              </w:rPr>
              <w:t>- разработка новых видов техники, внедрение композиционных материалов, образцов компонентной базы на новой инновационной основе.</w:t>
            </w:r>
          </w:p>
          <w:p w:rsidR="0080538D" w:rsidRPr="00623486" w:rsidRDefault="0080538D" w:rsidP="00623486">
            <w:pPr>
              <w:pStyle w:val="ListParagraph"/>
              <w:numPr>
                <w:ilvl w:val="0"/>
                <w:numId w:val="2"/>
              </w:numPr>
              <w:ind w:left="62" w:firstLine="298"/>
              <w:jc w:val="left"/>
              <w:rPr>
                <w:sz w:val="24"/>
                <w:szCs w:val="24"/>
                <w:highlight w:val="yellow"/>
              </w:rPr>
            </w:pPr>
            <w:r w:rsidRPr="00623486">
              <w:rPr>
                <w:sz w:val="24"/>
                <w:szCs w:val="24"/>
                <w:highlight w:val="yellow"/>
              </w:rPr>
              <w:t>Разработка комплекса инновационных, ресурсосберегающих, высокотехнологичных машин и оборудования для зерновой, мясной, молочной, хлебопекарной, плодоовощной и комбикормовой промышленности.</w:t>
            </w:r>
          </w:p>
          <w:p w:rsidR="0080538D" w:rsidRPr="00623486" w:rsidRDefault="0080538D" w:rsidP="00623486">
            <w:pPr>
              <w:pStyle w:val="ListParagraph"/>
              <w:numPr>
                <w:ilvl w:val="0"/>
                <w:numId w:val="2"/>
              </w:numPr>
              <w:ind w:left="62" w:firstLine="298"/>
              <w:jc w:val="left"/>
              <w:rPr>
                <w:sz w:val="24"/>
                <w:szCs w:val="24"/>
                <w:highlight w:val="yellow"/>
              </w:rPr>
            </w:pPr>
            <w:r w:rsidRPr="00623486">
              <w:rPr>
                <w:sz w:val="24"/>
                <w:szCs w:val="24"/>
                <w:highlight w:val="yellow"/>
              </w:rPr>
              <w:t>Разработка лазерного оптического сортировщика для отчистки семян</w:t>
            </w:r>
          </w:p>
          <w:p w:rsidR="0080538D" w:rsidRPr="00623486" w:rsidRDefault="0080538D" w:rsidP="00623486">
            <w:pPr>
              <w:pStyle w:val="ListParagraph"/>
              <w:numPr>
                <w:ilvl w:val="0"/>
                <w:numId w:val="2"/>
              </w:numPr>
              <w:ind w:left="62" w:firstLine="298"/>
              <w:jc w:val="left"/>
              <w:rPr>
                <w:sz w:val="24"/>
                <w:szCs w:val="24"/>
                <w:highlight w:val="yellow"/>
              </w:rPr>
            </w:pPr>
            <w:r w:rsidRPr="00623486">
              <w:rPr>
                <w:sz w:val="24"/>
                <w:szCs w:val="24"/>
                <w:highlight w:val="yellow"/>
              </w:rPr>
              <w:t>Разработка мембранных ,фильтровальных установок с вращающимися  элементами из пористой керамики для пищевой промышленности.</w:t>
            </w:r>
          </w:p>
          <w:p w:rsidR="0080538D" w:rsidRPr="00623486" w:rsidRDefault="0080538D" w:rsidP="00623486">
            <w:pPr>
              <w:pStyle w:val="ListParagraph"/>
              <w:numPr>
                <w:ilvl w:val="0"/>
                <w:numId w:val="2"/>
              </w:numPr>
              <w:ind w:left="62" w:firstLine="298"/>
              <w:jc w:val="left"/>
              <w:rPr>
                <w:sz w:val="24"/>
                <w:szCs w:val="24"/>
                <w:highlight w:val="yellow"/>
              </w:rPr>
            </w:pPr>
            <w:r w:rsidRPr="00623486">
              <w:rPr>
                <w:sz w:val="24"/>
                <w:szCs w:val="24"/>
                <w:highlight w:val="yellow"/>
              </w:rPr>
              <w:t>Технологии производства белых светоизлучающих диодов</w:t>
            </w:r>
          </w:p>
          <w:p w:rsidR="0080538D" w:rsidRPr="00623486" w:rsidRDefault="0080538D" w:rsidP="00623486">
            <w:pPr>
              <w:pStyle w:val="ListParagraph"/>
              <w:numPr>
                <w:ilvl w:val="0"/>
                <w:numId w:val="2"/>
              </w:numPr>
              <w:ind w:left="62" w:firstLine="298"/>
              <w:jc w:val="left"/>
              <w:rPr>
                <w:sz w:val="24"/>
                <w:szCs w:val="24"/>
                <w:highlight w:val="yellow"/>
              </w:rPr>
            </w:pPr>
            <w:r w:rsidRPr="00623486">
              <w:rPr>
                <w:sz w:val="24"/>
                <w:szCs w:val="24"/>
                <w:highlight w:val="yellow"/>
              </w:rPr>
              <w:t xml:space="preserve">Технологии разработки и производства осветительных приборов на основе СИД  и СИД матриц  </w:t>
            </w:r>
          </w:p>
          <w:p w:rsidR="0080538D" w:rsidRPr="00623486" w:rsidRDefault="0080538D" w:rsidP="00623486">
            <w:pPr>
              <w:spacing w:after="0" w:line="240" w:lineRule="auto"/>
              <w:rPr>
                <w:rFonts w:ascii="Times New Roman" w:hAnsi="Times New Roman"/>
                <w:sz w:val="24"/>
                <w:szCs w:val="24"/>
                <w:highlight w:val="yellow"/>
              </w:rPr>
            </w:pPr>
          </w:p>
          <w:p w:rsidR="0080538D" w:rsidRPr="00623486" w:rsidRDefault="0080538D" w:rsidP="00623486">
            <w:pPr>
              <w:spacing w:after="0" w:line="240" w:lineRule="auto"/>
              <w:rPr>
                <w:rFonts w:ascii="Times New Roman" w:hAnsi="Times New Roman"/>
                <w:sz w:val="24"/>
                <w:szCs w:val="24"/>
                <w:highlight w:val="yellow"/>
              </w:rPr>
            </w:pPr>
          </w:p>
        </w:tc>
      </w:tr>
    </w:tbl>
    <w:p w:rsidR="0080538D" w:rsidRDefault="0080538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4"/>
        <w:gridCol w:w="3854"/>
        <w:gridCol w:w="3854"/>
        <w:gridCol w:w="3855"/>
      </w:tblGrid>
      <w:tr w:rsidR="0080538D" w:rsidRPr="00D10C4F" w:rsidTr="00D10C4F">
        <w:trPr>
          <w:tblHeader/>
        </w:trPr>
        <w:tc>
          <w:tcPr>
            <w:tcW w:w="3854" w:type="dxa"/>
            <w:tcBorders>
              <w:top w:val="nil"/>
              <w:left w:val="nil"/>
              <w:bottom w:val="single" w:sz="4" w:space="0" w:color="auto"/>
              <w:right w:val="nil"/>
            </w:tcBorders>
          </w:tcPr>
          <w:p w:rsidR="0080538D" w:rsidRPr="00D10C4F" w:rsidRDefault="0080538D" w:rsidP="00D10C4F">
            <w:pPr>
              <w:spacing w:after="0" w:line="240" w:lineRule="auto"/>
              <w:rPr>
                <w:rFonts w:ascii="Times New Roman" w:hAnsi="Times New Roman"/>
                <w:b/>
                <w:sz w:val="27"/>
                <w:szCs w:val="27"/>
              </w:rPr>
            </w:pPr>
            <w:r w:rsidRPr="00D10C4F">
              <w:rPr>
                <w:rFonts w:ascii="Times New Roman" w:hAnsi="Times New Roman"/>
                <w:b/>
                <w:sz w:val="28"/>
                <w:szCs w:val="27"/>
              </w:rPr>
              <w:t>Продолжение приложения 2</w:t>
            </w:r>
          </w:p>
        </w:tc>
        <w:tc>
          <w:tcPr>
            <w:tcW w:w="3854" w:type="dxa"/>
            <w:tcBorders>
              <w:top w:val="nil"/>
              <w:left w:val="nil"/>
              <w:bottom w:val="single" w:sz="4" w:space="0" w:color="auto"/>
              <w:right w:val="nil"/>
            </w:tcBorders>
          </w:tcPr>
          <w:p w:rsidR="0080538D" w:rsidRPr="00D10C4F" w:rsidRDefault="0080538D" w:rsidP="00D10C4F">
            <w:pPr>
              <w:spacing w:after="0" w:line="240" w:lineRule="auto"/>
              <w:jc w:val="center"/>
              <w:rPr>
                <w:rFonts w:ascii="Times New Roman" w:hAnsi="Times New Roman"/>
                <w:b/>
                <w:sz w:val="27"/>
                <w:szCs w:val="27"/>
              </w:rPr>
            </w:pPr>
          </w:p>
        </w:tc>
        <w:tc>
          <w:tcPr>
            <w:tcW w:w="3854" w:type="dxa"/>
            <w:tcBorders>
              <w:top w:val="nil"/>
              <w:left w:val="nil"/>
              <w:bottom w:val="single" w:sz="4" w:space="0" w:color="auto"/>
              <w:right w:val="nil"/>
            </w:tcBorders>
          </w:tcPr>
          <w:p w:rsidR="0080538D" w:rsidRPr="00D10C4F" w:rsidRDefault="0080538D" w:rsidP="00D10C4F">
            <w:pPr>
              <w:spacing w:after="0" w:line="240" w:lineRule="auto"/>
              <w:jc w:val="center"/>
              <w:rPr>
                <w:rFonts w:ascii="Times New Roman" w:hAnsi="Times New Roman"/>
                <w:b/>
                <w:sz w:val="27"/>
                <w:szCs w:val="27"/>
              </w:rPr>
            </w:pPr>
          </w:p>
        </w:tc>
        <w:tc>
          <w:tcPr>
            <w:tcW w:w="3855" w:type="dxa"/>
            <w:tcBorders>
              <w:top w:val="nil"/>
              <w:left w:val="nil"/>
              <w:bottom w:val="single" w:sz="4" w:space="0" w:color="auto"/>
              <w:right w:val="nil"/>
            </w:tcBorders>
          </w:tcPr>
          <w:p w:rsidR="0080538D" w:rsidRPr="00D10C4F" w:rsidRDefault="0080538D" w:rsidP="00D10C4F">
            <w:pPr>
              <w:spacing w:after="0" w:line="240" w:lineRule="auto"/>
              <w:jc w:val="center"/>
              <w:rPr>
                <w:rFonts w:ascii="Times New Roman" w:hAnsi="Times New Roman"/>
                <w:b/>
                <w:sz w:val="27"/>
                <w:szCs w:val="27"/>
              </w:rPr>
            </w:pPr>
          </w:p>
        </w:tc>
      </w:tr>
      <w:tr w:rsidR="0080538D" w:rsidRPr="00D10C4F" w:rsidTr="00D10C4F">
        <w:trPr>
          <w:tblHeader/>
        </w:trPr>
        <w:tc>
          <w:tcPr>
            <w:tcW w:w="3854" w:type="dxa"/>
            <w:tcBorders>
              <w:top w:val="single" w:sz="4" w:space="0" w:color="auto"/>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Вклад в промышленный комплекс и экономику    региона</w:t>
            </w:r>
          </w:p>
        </w:tc>
        <w:tc>
          <w:tcPr>
            <w:tcW w:w="3854" w:type="dxa"/>
            <w:tcBorders>
              <w:top w:val="single" w:sz="4" w:space="0" w:color="auto"/>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Потенциальные             возможности и риски</w:t>
            </w:r>
          </w:p>
        </w:tc>
        <w:tc>
          <w:tcPr>
            <w:tcW w:w="3854" w:type="dxa"/>
            <w:tcBorders>
              <w:top w:val="single" w:sz="4" w:space="0" w:color="auto"/>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 xml:space="preserve">Политика импортозамещения </w:t>
            </w:r>
            <w:r>
              <w:rPr>
                <w:rFonts w:ascii="Times New Roman" w:hAnsi="Times New Roman"/>
                <w:b/>
                <w:sz w:val="27"/>
                <w:szCs w:val="27"/>
              </w:rPr>
              <w:br/>
            </w:r>
            <w:r w:rsidRPr="00D10C4F">
              <w:rPr>
                <w:rFonts w:ascii="Times New Roman" w:hAnsi="Times New Roman"/>
                <w:b/>
                <w:sz w:val="27"/>
                <w:szCs w:val="27"/>
              </w:rPr>
              <w:t>и экспортно-ориентирования</w:t>
            </w:r>
          </w:p>
        </w:tc>
        <w:tc>
          <w:tcPr>
            <w:tcW w:w="3855" w:type="dxa"/>
            <w:tcBorders>
              <w:top w:val="single" w:sz="4" w:space="0" w:color="auto"/>
              <w:bottom w:val="double" w:sz="4" w:space="0" w:color="auto"/>
            </w:tcBorders>
          </w:tcPr>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Политика инновационного</w:t>
            </w:r>
          </w:p>
          <w:p w:rsidR="0080538D" w:rsidRPr="00D10C4F" w:rsidRDefault="0080538D" w:rsidP="00D10C4F">
            <w:pPr>
              <w:spacing w:after="0" w:line="240" w:lineRule="auto"/>
              <w:jc w:val="center"/>
              <w:rPr>
                <w:rFonts w:ascii="Times New Roman" w:hAnsi="Times New Roman"/>
                <w:b/>
                <w:sz w:val="27"/>
                <w:szCs w:val="27"/>
              </w:rPr>
            </w:pPr>
            <w:r w:rsidRPr="00D10C4F">
              <w:rPr>
                <w:rFonts w:ascii="Times New Roman" w:hAnsi="Times New Roman"/>
                <w:b/>
                <w:sz w:val="27"/>
                <w:szCs w:val="27"/>
              </w:rPr>
              <w:t>развития</w:t>
            </w:r>
          </w:p>
        </w:tc>
      </w:tr>
      <w:tr w:rsidR="0080538D" w:rsidRPr="00D10C4F" w:rsidTr="00D10C4F">
        <w:tc>
          <w:tcPr>
            <w:tcW w:w="3854" w:type="dxa"/>
            <w:tcBorders>
              <w:top w:val="double" w:sz="4" w:space="0" w:color="auto"/>
            </w:tcBorders>
          </w:tcPr>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Лесопромышленный комплекс</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ВЭД:</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Раздел А. Сельское хозяйство, охота и лесное хозяйство (Подраздел 02.0.Лесное хозяйство и предоставление услуг в этой области); </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Раздел D. Обрабатывающие производства. (Подраздел DD. Обработка древесины и производство изделий из дерева);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Раздел D. Обрабатывающие производства. (Подраздел DF. Целлюлозно-бумажное производство; издательская и полиграфическая деятельность).</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Вклад:</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В Красноярском крае лесопромышленный комплекс занимает пятое место в структуре промышленного производства края. Доля лесной промышленности в структуре промышленного производства края составляет 3,8%. Общий объем производимой на территории края лесопромышленной продукции оценивается в 0,25 млрд. долларов (уровень докризисного периода).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На долю Красноярского края приходится 6,7% производимой в России деловой древесины (пятое место в России), 9,7% - пиломатериалов (второе место в России после Иркутской области), 1,7% - целлюлозы (шестое место), 0,9% - бумаги (одиннадцатое место в России) и 2,6% - картона (девятое место).</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sz w:val="24"/>
                <w:szCs w:val="24"/>
              </w:rPr>
            </w:pPr>
          </w:p>
        </w:tc>
        <w:tc>
          <w:tcPr>
            <w:tcW w:w="3854" w:type="dxa"/>
            <w:tcBorders>
              <w:top w:val="double" w:sz="4" w:space="0" w:color="auto"/>
            </w:tcBorders>
          </w:tcPr>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Положительные факторы:</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Край обладает крупнейшими в России лесосырьевыми ресурсами (14,3%общероссийского запаса леса или 3,0% от мировых) и относится к ведущим лесопромышленным регионам России, занимая по объему производства лесопромышленной продукции 12-е место среди регионов Российской Федерации и второе (после Иркутской области) место в Сибирском Федеральном округе. Доля края в российском экспорте лесопродукции составляет до 5%.</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В структуре промышленного производства края лесопромышленный комплекс занимает пятое место (1,6% объема промпроизводства с учетом лесохозяйственной деятельности).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Учитывая существующие запасы древесины, по объемам которых крае занимает 1-е место в России, ее высокие породно-качественные характеристики, а также возможность перехода на возобновляемое лесопользование на основе искусственного воспроизводства лесов с заданными характеристиками, Красноярский край в стратегической перспективе должен стать лидером в лесопромышленном комплексе страны по объемам производства продукции с высокой добавленной стоимостью.</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возможность значительного увеличения объемов производства на действующих предприятиях разного профиля за счет их модернизации, технического перевооружения, реконструкции, а также создания новых производств.</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благоприятный прогноз динамики рынка лесобумажной продукции на ближайшую и отдаленную перспективу, прежде всего в странах азиатско-тихоокеанского региона.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невысокая экологическая нагрузка от деятельности лесопромышленного предприятий в настоящее время и незначительное ее увеличение при современных технологий на новых лесоперерабатывающих предприятиях.</w:t>
            </w: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Угрозы:</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значительная удаленность  лесопромышленных предприятий края от основных российских и зарубежных рынков сбыта продукции.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неразвитость мощностей по глубокой переработке древесного сырья, создание которых может вовлечь в оборот невостребованную в настоящее время низкокачественную древесину, увеличить доходность лесного бизнеса в 4-5 раз.</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низкий уровень использования отходов лесопиления.</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недостаток инвестиций в лесопромышленный комплекс, связанный с низкой инвестиционной привлекательностью многих предприятий.</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сезонность и низкая концентрация лесозаготовительного производства, недостаточное количество лесовозных дорого круглогодичного действия.</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опережающий рост транспортных тарифов и цен на энергетические ресурсы по сравнению с ценами на лесобумажную продукцию.</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неудовлетворительная товарная структура лесного экспорта, сохранение его сырьевой направленности.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отвлечение значительных средств предприятий на содержание объектов социальной сферы, находящихся на их балансе.</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слабая структурированность лесного бизнеса.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низкие доходы работников лесопромышленных предприятий.</w:t>
            </w:r>
          </w:p>
          <w:p w:rsidR="0080538D" w:rsidRPr="00D10C4F" w:rsidRDefault="0080538D" w:rsidP="00D10C4F">
            <w:pPr>
              <w:spacing w:after="0" w:line="240" w:lineRule="auto"/>
              <w:jc w:val="both"/>
              <w:rPr>
                <w:rFonts w:ascii="Times New Roman" w:hAnsi="Times New Roman"/>
                <w:b/>
                <w:sz w:val="24"/>
                <w:szCs w:val="24"/>
              </w:rPr>
            </w:pPr>
          </w:p>
        </w:tc>
        <w:tc>
          <w:tcPr>
            <w:tcW w:w="3854" w:type="dxa"/>
            <w:tcBorders>
              <w:top w:val="double" w:sz="4" w:space="0" w:color="auto"/>
            </w:tcBorders>
          </w:tcPr>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обеспечено развитием производства продукции механической деревообработки с высокой добавленной стоимостью и расширением глубокой химико–механической переработки древесины с максимальным вовлечением мелкотоварного, низкокачественного и мягколиственного сырья.</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освоение выпуска прогрессивных видов продукции (конструкционных материалов на основе древесины с ориентированной композиционной структурой (</w:t>
            </w:r>
            <w:r w:rsidRPr="00D10C4F">
              <w:rPr>
                <w:rFonts w:ascii="Times New Roman" w:hAnsi="Times New Roman"/>
                <w:sz w:val="24"/>
                <w:szCs w:val="24"/>
                <w:lang w:val="en-US"/>
              </w:rPr>
              <w:t>OSL</w:t>
            </w:r>
            <w:r w:rsidRPr="00D10C4F">
              <w:rPr>
                <w:rFonts w:ascii="Times New Roman" w:hAnsi="Times New Roman"/>
                <w:sz w:val="24"/>
                <w:szCs w:val="24"/>
              </w:rPr>
              <w:t>), прессованные под паром (</w:t>
            </w:r>
            <w:r w:rsidRPr="00D10C4F">
              <w:rPr>
                <w:rFonts w:ascii="Times New Roman" w:hAnsi="Times New Roman"/>
                <w:sz w:val="24"/>
                <w:szCs w:val="24"/>
                <w:lang w:val="en-US"/>
              </w:rPr>
              <w:t>PSL</w:t>
            </w:r>
            <w:r w:rsidRPr="00D10C4F">
              <w:rPr>
                <w:rFonts w:ascii="Times New Roman" w:hAnsi="Times New Roman"/>
                <w:sz w:val="24"/>
                <w:szCs w:val="24"/>
              </w:rPr>
              <w:t>), композиты, древесные материалы с новыми потребительскими свойствами (МДФ, ОСБ).</w:t>
            </w:r>
          </w:p>
        </w:tc>
        <w:tc>
          <w:tcPr>
            <w:tcW w:w="3855" w:type="dxa"/>
            <w:tcBorders>
              <w:top w:val="double" w:sz="4" w:space="0" w:color="auto"/>
            </w:tcBorders>
          </w:tcPr>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АИС ГЛР – автоматизированная информационная система «Государственный лесной реестр» (трансакционные описания и материалы лесоустройства для формирования проектов лесных участков</w:t>
            </w:r>
          </w:p>
        </w:tc>
      </w:tr>
      <w:tr w:rsidR="0080538D" w:rsidRPr="00D10C4F" w:rsidTr="00D10C4F">
        <w:tc>
          <w:tcPr>
            <w:tcW w:w="3854" w:type="dxa"/>
          </w:tcPr>
          <w:p w:rsidR="0080538D" w:rsidRPr="00D10C4F" w:rsidRDefault="0080538D" w:rsidP="00D10C4F">
            <w:pPr>
              <w:spacing w:after="0" w:line="240" w:lineRule="auto"/>
              <w:jc w:val="both"/>
              <w:rPr>
                <w:rFonts w:ascii="Times New Roman" w:hAnsi="Times New Roman"/>
                <w:b/>
                <w:sz w:val="24"/>
                <w:szCs w:val="24"/>
              </w:rPr>
            </w:pPr>
            <w:bookmarkStart w:id="0" w:name="_GoBack"/>
            <w:bookmarkEnd w:id="0"/>
            <w:r w:rsidRPr="00D10C4F">
              <w:rPr>
                <w:rFonts w:ascii="Times New Roman" w:hAnsi="Times New Roman"/>
                <w:b/>
                <w:sz w:val="24"/>
                <w:szCs w:val="24"/>
              </w:rPr>
              <w:t xml:space="preserve">Агропромышленный </w:t>
            </w: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комплекс</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sz w:val="24"/>
                <w:szCs w:val="24"/>
              </w:rPr>
            </w:pPr>
            <w:r w:rsidRPr="00D10C4F">
              <w:rPr>
                <w:rFonts w:ascii="Times New Roman" w:hAnsi="Times New Roman"/>
                <w:b/>
                <w:sz w:val="24"/>
                <w:szCs w:val="24"/>
              </w:rPr>
              <w:t>ОКВЭД:</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раздел А, подраздел А-01, сельское хозяйство, охота и предоставление услуг в этой отрасли;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раздел В, рыболовство и рыбоводство.</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раздел D, обрабатывающие производства. (Подраздел DА, производство пищевых продуктов, включая напитки, и табака).</w:t>
            </w:r>
          </w:p>
          <w:p w:rsidR="0080538D" w:rsidRPr="00D10C4F" w:rsidRDefault="0080538D" w:rsidP="00D10C4F">
            <w:pPr>
              <w:spacing w:after="0" w:line="240" w:lineRule="auto"/>
              <w:jc w:val="both"/>
              <w:rPr>
                <w:rFonts w:ascii="Times New Roman" w:hAnsi="Times New Roman"/>
                <w:sz w:val="24"/>
                <w:szCs w:val="24"/>
              </w:rPr>
            </w:pPr>
          </w:p>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Вклад:</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2 место в СФО по производству продукции сельского хозяйства.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На долю агропромышленного комплекса (АПК) края, включающего сельское хозяйство и перерабатывающий сектор, приходится 8,9% валового регионального продукта, удельный вес занятых составляет 5,2% в общей численности занятых в экономике региона.</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В специализации АПК края федеральное значение имеет зерновое производство, региональное значение –</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xml:space="preserve"> животноводство, птицеводство, остальные подотрасли имеют внутрикраевое значение.</w:t>
            </w:r>
          </w:p>
          <w:p w:rsidR="0080538D" w:rsidRPr="00D10C4F" w:rsidRDefault="0080538D" w:rsidP="00D10C4F">
            <w:pPr>
              <w:spacing w:after="0" w:line="240" w:lineRule="auto"/>
              <w:jc w:val="both"/>
              <w:rPr>
                <w:rFonts w:ascii="Times New Roman" w:hAnsi="Times New Roman"/>
                <w:b/>
                <w:i/>
                <w:sz w:val="24"/>
                <w:szCs w:val="24"/>
              </w:rPr>
            </w:pPr>
          </w:p>
        </w:tc>
        <w:tc>
          <w:tcPr>
            <w:tcW w:w="3854" w:type="dxa"/>
          </w:tcPr>
          <w:p w:rsidR="0080538D" w:rsidRPr="00D10C4F" w:rsidRDefault="0080538D" w:rsidP="00D10C4F">
            <w:pPr>
              <w:spacing w:after="0" w:line="240" w:lineRule="auto"/>
              <w:jc w:val="both"/>
              <w:rPr>
                <w:rFonts w:ascii="Times New Roman" w:hAnsi="Times New Roman"/>
                <w:b/>
                <w:i/>
                <w:sz w:val="24"/>
                <w:szCs w:val="24"/>
              </w:rPr>
            </w:pPr>
            <w:r w:rsidRPr="00D10C4F">
              <w:rPr>
                <w:rFonts w:ascii="Times New Roman" w:hAnsi="Times New Roman"/>
                <w:b/>
                <w:i/>
                <w:sz w:val="24"/>
                <w:szCs w:val="24"/>
              </w:rPr>
              <w:t xml:space="preserve">Возможности </w:t>
            </w:r>
          </w:p>
          <w:p w:rsidR="0080538D" w:rsidRPr="00D10C4F" w:rsidRDefault="0080538D" w:rsidP="00D10C4F">
            <w:pPr>
              <w:pStyle w:val="ListParagraph"/>
              <w:numPr>
                <w:ilvl w:val="0"/>
                <w:numId w:val="10"/>
              </w:numPr>
              <w:ind w:left="0" w:firstLine="0"/>
              <w:rPr>
                <w:sz w:val="24"/>
                <w:szCs w:val="24"/>
              </w:rPr>
            </w:pPr>
            <w:r w:rsidRPr="00D10C4F">
              <w:rPr>
                <w:sz w:val="24"/>
                <w:szCs w:val="24"/>
              </w:rPr>
              <w:t xml:space="preserve">Наличие свободных земельных ресурсов, высокой обеспеченностью сельхозугодиями, в том числе пашнями; </w:t>
            </w:r>
          </w:p>
          <w:p w:rsidR="0080538D" w:rsidRPr="00D10C4F" w:rsidRDefault="0080538D" w:rsidP="00D10C4F">
            <w:pPr>
              <w:pStyle w:val="ListParagraph"/>
              <w:numPr>
                <w:ilvl w:val="0"/>
                <w:numId w:val="10"/>
              </w:numPr>
              <w:ind w:left="0" w:firstLine="0"/>
              <w:rPr>
                <w:sz w:val="24"/>
                <w:szCs w:val="24"/>
              </w:rPr>
            </w:pPr>
            <w:r w:rsidRPr="00D10C4F">
              <w:rPr>
                <w:sz w:val="24"/>
                <w:szCs w:val="24"/>
              </w:rPr>
              <w:t xml:space="preserve">сформированная пространственная структура перерабатывающих предприятий в крупных промышленных и сельскохозяйственных регионах с развитой транспортной инфраструктурой, позволяющей осуществлять поставку продукции как внутри, так и за пределы края; </w:t>
            </w:r>
          </w:p>
          <w:p w:rsidR="0080538D" w:rsidRPr="00D10C4F" w:rsidRDefault="0080538D" w:rsidP="00D10C4F">
            <w:pPr>
              <w:pStyle w:val="ListParagraph"/>
              <w:numPr>
                <w:ilvl w:val="0"/>
                <w:numId w:val="10"/>
              </w:numPr>
              <w:ind w:left="0" w:firstLine="0"/>
              <w:rPr>
                <w:sz w:val="24"/>
                <w:szCs w:val="24"/>
              </w:rPr>
            </w:pPr>
            <w:r w:rsidRPr="00D10C4F">
              <w:rPr>
                <w:sz w:val="24"/>
                <w:szCs w:val="24"/>
              </w:rPr>
              <w:t xml:space="preserve">формирующиеся новые рынки сбыта в крае, которые увеличивают объемы внутреннего потребления продуктов питания, создают конкурентную среду для развития производства и переработки продуктов питания; </w:t>
            </w:r>
          </w:p>
          <w:p w:rsidR="0080538D" w:rsidRPr="00D10C4F" w:rsidRDefault="0080538D" w:rsidP="00D10C4F">
            <w:pPr>
              <w:pStyle w:val="ListParagraph"/>
              <w:numPr>
                <w:ilvl w:val="0"/>
                <w:numId w:val="10"/>
              </w:numPr>
              <w:ind w:left="0" w:firstLine="0"/>
              <w:rPr>
                <w:sz w:val="24"/>
                <w:szCs w:val="24"/>
              </w:rPr>
            </w:pPr>
            <w:r w:rsidRPr="00D10C4F">
              <w:rPr>
                <w:sz w:val="24"/>
                <w:szCs w:val="24"/>
              </w:rPr>
              <w:t>стабильный  рост объемов производства зерна, обеспечивающий  устойчивую кормовую базу для развития животноводства и создающим основу для зерновой интервенции края на восточные рынки России.</w:t>
            </w:r>
          </w:p>
          <w:p w:rsidR="0080538D" w:rsidRPr="00D10C4F" w:rsidRDefault="0080538D" w:rsidP="00D10C4F">
            <w:pPr>
              <w:pStyle w:val="ListParagraph"/>
              <w:numPr>
                <w:ilvl w:val="0"/>
                <w:numId w:val="10"/>
              </w:numPr>
              <w:ind w:left="0" w:firstLine="0"/>
              <w:rPr>
                <w:sz w:val="24"/>
                <w:szCs w:val="24"/>
              </w:rPr>
            </w:pPr>
          </w:p>
          <w:p w:rsidR="0080538D" w:rsidRPr="00D10C4F" w:rsidRDefault="0080538D" w:rsidP="00D10C4F">
            <w:pPr>
              <w:pStyle w:val="ListParagraph"/>
              <w:ind w:left="0" w:firstLine="0"/>
              <w:rPr>
                <w:sz w:val="24"/>
                <w:szCs w:val="24"/>
              </w:rPr>
            </w:pPr>
          </w:p>
          <w:p w:rsidR="0080538D" w:rsidRPr="00D10C4F" w:rsidRDefault="0080538D" w:rsidP="00D10C4F">
            <w:pPr>
              <w:pStyle w:val="ListParagraph"/>
              <w:ind w:left="0" w:firstLine="0"/>
              <w:rPr>
                <w:sz w:val="24"/>
                <w:szCs w:val="24"/>
              </w:rPr>
            </w:pPr>
            <w:r w:rsidRPr="00D10C4F">
              <w:rPr>
                <w:sz w:val="24"/>
                <w:szCs w:val="24"/>
              </w:rPr>
              <w:t>Риски</w:t>
            </w:r>
          </w:p>
          <w:p w:rsidR="0080538D" w:rsidRPr="00D10C4F" w:rsidRDefault="0080538D" w:rsidP="00D10C4F">
            <w:pPr>
              <w:pStyle w:val="ListParagraph"/>
              <w:numPr>
                <w:ilvl w:val="0"/>
                <w:numId w:val="10"/>
              </w:numPr>
              <w:ind w:left="0" w:firstLine="0"/>
              <w:rPr>
                <w:sz w:val="24"/>
                <w:szCs w:val="24"/>
              </w:rPr>
            </w:pPr>
            <w:r w:rsidRPr="00D10C4F">
              <w:rPr>
                <w:sz w:val="24"/>
                <w:szCs w:val="24"/>
              </w:rPr>
              <w:t>повышение конкуренции со стороны иностранных производителей в результате вступления России в ВТО,</w:t>
            </w:r>
          </w:p>
          <w:p w:rsidR="0080538D" w:rsidRPr="00D10C4F" w:rsidRDefault="0080538D" w:rsidP="00D10C4F">
            <w:pPr>
              <w:pStyle w:val="ListParagraph"/>
              <w:numPr>
                <w:ilvl w:val="0"/>
                <w:numId w:val="10"/>
              </w:numPr>
              <w:ind w:left="0" w:firstLine="0"/>
              <w:rPr>
                <w:sz w:val="24"/>
                <w:szCs w:val="24"/>
              </w:rPr>
            </w:pPr>
            <w:r w:rsidRPr="00D10C4F">
              <w:rPr>
                <w:sz w:val="24"/>
                <w:szCs w:val="24"/>
              </w:rPr>
              <w:t>неблагоприятная рыночная конъюнктура на товары и услуги для села (энергоносители, удобрения, технику и оборудование),</w:t>
            </w:r>
          </w:p>
          <w:p w:rsidR="0080538D" w:rsidRPr="00D10C4F" w:rsidRDefault="0080538D" w:rsidP="00D10C4F">
            <w:pPr>
              <w:pStyle w:val="ListParagraph"/>
              <w:numPr>
                <w:ilvl w:val="0"/>
                <w:numId w:val="10"/>
              </w:numPr>
              <w:ind w:left="0" w:firstLine="0"/>
              <w:rPr>
                <w:sz w:val="24"/>
                <w:szCs w:val="24"/>
              </w:rPr>
            </w:pPr>
            <w:r w:rsidRPr="00D10C4F">
              <w:rPr>
                <w:sz w:val="24"/>
                <w:szCs w:val="24"/>
              </w:rPr>
              <w:t xml:space="preserve">недостаток квалифицированных кадров, а также природные и климатические риски, создающие угрозы стабильности объемов сельхозпроизводства и приводящие к более высоким издержкам краевых производителей по сравнению с регионами, расположенными в благоприятных для сельского хозяйства климатических зонах. </w:t>
            </w:r>
          </w:p>
        </w:tc>
        <w:tc>
          <w:tcPr>
            <w:tcW w:w="3854" w:type="dxa"/>
          </w:tcPr>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-формирование высокотехнологичных агропромышленных предприятий с законченным циклом производства, способных обеспечить население основными видами экологически чистого продовольствия и выйти на межрегиональные и международные рынки сельскохозяйственной продукции (в первую очередь зерна и продуктов его переработки);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введение системы отраслевого зонирования агропромышленного комплекса и актуализация его структуры исходя из климатических условий и агроресурсного потенциала, внедрение технологий выращивания экологически чистых сельскохозяйственных культур без генной модификации на природных удобрениях и почвомодификаторах, повышение урожайности сельскохозяйственных культур и продуктивности животноводства, поддержание естественного плодородия почв и предотвращение эрозионных процессов, улучшение материально-ресурсного обеспечения сельскохозяйственной отрасли: обновление машинно-тракторного парка, сельскохозяйственной инфраструктуры, внедрение новых наукоемких технологий в аграрное производство с использованием возможностей аграрной науки, создание условий для формирования интегрированных структур, включающих в себя полный цикл производства продуктов питания от растениеводства и животноводства до выпуска пищевой продукции.</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возрождение и развитие овощеводства, включая переработку овощной продукции, на территории Минусинской котловины.</w:t>
            </w:r>
          </w:p>
          <w:p w:rsidR="0080538D" w:rsidRPr="00D10C4F" w:rsidRDefault="0080538D" w:rsidP="00D10C4F">
            <w:pPr>
              <w:spacing w:after="0" w:line="240" w:lineRule="auto"/>
              <w:jc w:val="both"/>
              <w:rPr>
                <w:rFonts w:ascii="Times New Roman" w:hAnsi="Times New Roman"/>
                <w:sz w:val="24"/>
                <w:szCs w:val="24"/>
              </w:rPr>
            </w:pPr>
            <w:r w:rsidRPr="00D10C4F">
              <w:rPr>
                <w:rFonts w:ascii="Times New Roman" w:hAnsi="Times New Roman"/>
                <w:sz w:val="24"/>
                <w:szCs w:val="24"/>
              </w:rPr>
              <w:t>- развития фермерства, малого бизнеса, строительства новых предприятий пищевой промышленности на местном сырье. Ресурсы макрорайона должны служить продовольственной базой для населения северных регионов края. Перспективными направлениями развития малого бизнеса территории являются сельское хозяйство и переработка, включая сбор и переработку дикоросов, а также обслуживание сельского и этнического туризма.</w:t>
            </w:r>
          </w:p>
        </w:tc>
        <w:tc>
          <w:tcPr>
            <w:tcW w:w="3855" w:type="dxa"/>
          </w:tcPr>
          <w:p w:rsidR="0080538D" w:rsidRPr="00D10C4F" w:rsidRDefault="0080538D" w:rsidP="00D10C4F">
            <w:pPr>
              <w:pStyle w:val="ListParagraph"/>
              <w:numPr>
                <w:ilvl w:val="0"/>
                <w:numId w:val="3"/>
              </w:numPr>
              <w:ind w:left="0" w:firstLine="0"/>
              <w:rPr>
                <w:sz w:val="24"/>
                <w:szCs w:val="24"/>
              </w:rPr>
            </w:pPr>
            <w:r w:rsidRPr="00D10C4F">
              <w:rPr>
                <w:sz w:val="24"/>
                <w:szCs w:val="24"/>
              </w:rPr>
              <w:t xml:space="preserve">Разработка пищевых ингредиентов, заквасок, продуктов функционального и лечебного питания </w:t>
            </w:r>
          </w:p>
          <w:p w:rsidR="0080538D" w:rsidRPr="00D10C4F" w:rsidRDefault="0080538D" w:rsidP="00D10C4F">
            <w:pPr>
              <w:pStyle w:val="ListParagraph"/>
              <w:numPr>
                <w:ilvl w:val="0"/>
                <w:numId w:val="3"/>
              </w:numPr>
              <w:ind w:left="0" w:firstLine="0"/>
              <w:rPr>
                <w:sz w:val="24"/>
                <w:szCs w:val="24"/>
              </w:rPr>
            </w:pPr>
            <w:r w:rsidRPr="00D10C4F">
              <w:rPr>
                <w:sz w:val="24"/>
                <w:szCs w:val="24"/>
              </w:rPr>
              <w:t>Разработка технологий переработки и утилизации отходов агропромышленного сектора</w:t>
            </w:r>
          </w:p>
          <w:p w:rsidR="0080538D" w:rsidRPr="00D10C4F" w:rsidRDefault="0080538D" w:rsidP="00D10C4F">
            <w:pPr>
              <w:pStyle w:val="ListParagraph"/>
              <w:numPr>
                <w:ilvl w:val="0"/>
                <w:numId w:val="3"/>
              </w:numPr>
              <w:ind w:left="0" w:firstLine="0"/>
              <w:rPr>
                <w:sz w:val="24"/>
                <w:szCs w:val="24"/>
              </w:rPr>
            </w:pPr>
            <w:r w:rsidRPr="00D10C4F">
              <w:rPr>
                <w:sz w:val="24"/>
                <w:szCs w:val="24"/>
              </w:rPr>
              <w:t>Энергосберегающее технологии для увеличения производства овощей защищенного грунта, что позволит круглогодично обеспечивать население витаминной продукцией</w:t>
            </w:r>
          </w:p>
          <w:p w:rsidR="0080538D" w:rsidRPr="00D10C4F" w:rsidRDefault="0080538D" w:rsidP="00D10C4F">
            <w:pPr>
              <w:spacing w:after="0" w:line="240" w:lineRule="auto"/>
              <w:jc w:val="both"/>
              <w:rPr>
                <w:rFonts w:ascii="Times New Roman" w:hAnsi="Times New Roman"/>
                <w:sz w:val="24"/>
                <w:szCs w:val="24"/>
              </w:rPr>
            </w:pPr>
          </w:p>
        </w:tc>
      </w:tr>
    </w:tbl>
    <w:p w:rsidR="0080538D" w:rsidRDefault="0080538D"/>
    <w:p w:rsidR="0080538D" w:rsidRDefault="0080538D"/>
    <w:sectPr w:rsidR="0080538D" w:rsidSect="00482AF6">
      <w:footerReference w:type="default" r:id="rId7"/>
      <w:pgSz w:w="16838" w:h="11906" w:orient="landscape"/>
      <w:pgMar w:top="720" w:right="720" w:bottom="720" w:left="720" w:header="708" w:footer="708" w:gutter="0"/>
      <w:pgNumType w:start="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8D" w:rsidRDefault="0080538D" w:rsidP="00482AF6">
      <w:pPr>
        <w:spacing w:after="0" w:line="240" w:lineRule="auto"/>
      </w:pPr>
      <w:r>
        <w:separator/>
      </w:r>
    </w:p>
  </w:endnote>
  <w:endnote w:type="continuationSeparator" w:id="0">
    <w:p w:rsidR="0080538D" w:rsidRDefault="0080538D" w:rsidP="00482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8D" w:rsidRDefault="0080538D">
    <w:pPr>
      <w:pStyle w:val="Footer"/>
      <w:jc w:val="center"/>
    </w:pPr>
    <w:fldSimple w:instr="PAGE   \* MERGEFORMAT">
      <w:r>
        <w:rPr>
          <w:noProof/>
        </w:rPr>
        <w:t>88</w:t>
      </w:r>
    </w:fldSimple>
  </w:p>
  <w:p w:rsidR="0080538D" w:rsidRDefault="00805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8D" w:rsidRDefault="0080538D" w:rsidP="00482AF6">
      <w:pPr>
        <w:spacing w:after="0" w:line="240" w:lineRule="auto"/>
      </w:pPr>
      <w:r>
        <w:separator/>
      </w:r>
    </w:p>
  </w:footnote>
  <w:footnote w:type="continuationSeparator" w:id="0">
    <w:p w:rsidR="0080538D" w:rsidRDefault="0080538D" w:rsidP="00482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90D"/>
    <w:multiLevelType w:val="hybridMultilevel"/>
    <w:tmpl w:val="5B38ED76"/>
    <w:lvl w:ilvl="0" w:tplc="654C7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D3F3D"/>
    <w:multiLevelType w:val="hybridMultilevel"/>
    <w:tmpl w:val="9A9E2760"/>
    <w:lvl w:ilvl="0" w:tplc="654C77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0DF25A7"/>
    <w:multiLevelType w:val="hybridMultilevel"/>
    <w:tmpl w:val="59521988"/>
    <w:lvl w:ilvl="0" w:tplc="654C7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EB7FC1"/>
    <w:multiLevelType w:val="hybridMultilevel"/>
    <w:tmpl w:val="A0F2DB38"/>
    <w:lvl w:ilvl="0" w:tplc="654C7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506985"/>
    <w:multiLevelType w:val="hybridMultilevel"/>
    <w:tmpl w:val="AB068E10"/>
    <w:lvl w:ilvl="0" w:tplc="654C7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3B777C"/>
    <w:multiLevelType w:val="hybridMultilevel"/>
    <w:tmpl w:val="49CC72C2"/>
    <w:lvl w:ilvl="0" w:tplc="654C77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89D4E50"/>
    <w:multiLevelType w:val="hybridMultilevel"/>
    <w:tmpl w:val="F03A9850"/>
    <w:lvl w:ilvl="0" w:tplc="654C7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31067E"/>
    <w:multiLevelType w:val="hybridMultilevel"/>
    <w:tmpl w:val="6E3EE444"/>
    <w:lvl w:ilvl="0" w:tplc="654C7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0220E9"/>
    <w:multiLevelType w:val="hybridMultilevel"/>
    <w:tmpl w:val="6FF45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F24D80"/>
    <w:multiLevelType w:val="hybridMultilevel"/>
    <w:tmpl w:val="ED56A1EC"/>
    <w:lvl w:ilvl="0" w:tplc="654C77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0"/>
  </w:num>
  <w:num w:numId="6">
    <w:abstractNumId w:val="5"/>
  </w:num>
  <w:num w:numId="7">
    <w:abstractNumId w:val="2"/>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C7B"/>
    <w:rsid w:val="00126193"/>
    <w:rsid w:val="001E1D06"/>
    <w:rsid w:val="00233756"/>
    <w:rsid w:val="00243958"/>
    <w:rsid w:val="002601C0"/>
    <w:rsid w:val="00394122"/>
    <w:rsid w:val="00465864"/>
    <w:rsid w:val="00482AF6"/>
    <w:rsid w:val="005B7AA1"/>
    <w:rsid w:val="00623486"/>
    <w:rsid w:val="00660402"/>
    <w:rsid w:val="006A3C7B"/>
    <w:rsid w:val="007F1FAE"/>
    <w:rsid w:val="0080538D"/>
    <w:rsid w:val="008375A7"/>
    <w:rsid w:val="008A781B"/>
    <w:rsid w:val="0097443B"/>
    <w:rsid w:val="009E786D"/>
    <w:rsid w:val="00A00944"/>
    <w:rsid w:val="00B01C71"/>
    <w:rsid w:val="00D10C4F"/>
    <w:rsid w:val="00D6246F"/>
    <w:rsid w:val="00E03494"/>
    <w:rsid w:val="00E12F24"/>
    <w:rsid w:val="00E17D46"/>
    <w:rsid w:val="00E31524"/>
    <w:rsid w:val="00F627EA"/>
    <w:rsid w:val="00FB3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B7AA1"/>
    <w:pPr>
      <w:spacing w:after="200" w:line="276" w:lineRule="auto"/>
    </w:pPr>
  </w:style>
  <w:style w:type="paragraph" w:styleId="Heading1">
    <w:name w:val="heading 1"/>
    <w:basedOn w:val="Normal"/>
    <w:next w:val="Normal"/>
    <w:link w:val="Heading1Char"/>
    <w:uiPriority w:val="99"/>
    <w:qFormat/>
    <w:rsid w:val="00394122"/>
    <w:pPr>
      <w:keepNext/>
      <w:keepLines/>
      <w:widowControl w:val="0"/>
      <w:autoSpaceDE w:val="0"/>
      <w:autoSpaceDN w:val="0"/>
      <w:adjustRightInd w:val="0"/>
      <w:spacing w:before="480" w:after="0" w:line="240" w:lineRule="auto"/>
      <w:ind w:firstLine="709"/>
      <w:contextualSpacing/>
      <w:jc w:val="both"/>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394122"/>
    <w:pPr>
      <w:keepNext/>
      <w:keepLines/>
      <w:widowControl w:val="0"/>
      <w:autoSpaceDE w:val="0"/>
      <w:autoSpaceDN w:val="0"/>
      <w:adjustRightInd w:val="0"/>
      <w:spacing w:before="200" w:after="0" w:line="240" w:lineRule="auto"/>
      <w:ind w:firstLine="709"/>
      <w:contextualSpacing/>
      <w:jc w:val="both"/>
      <w:outlineLvl w:val="1"/>
    </w:pPr>
    <w:rPr>
      <w:rFonts w:ascii="Cambria" w:hAnsi="Cambria"/>
      <w:b/>
      <w:bCs/>
      <w:color w:val="4F81BD"/>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122"/>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394122"/>
    <w:rPr>
      <w:rFonts w:ascii="Cambria" w:hAnsi="Cambria" w:cs="Times New Roman"/>
      <w:b/>
      <w:bCs/>
      <w:color w:val="4F81BD"/>
      <w:sz w:val="26"/>
      <w:szCs w:val="26"/>
      <w:lang w:eastAsia="en-US"/>
    </w:rPr>
  </w:style>
  <w:style w:type="table" w:styleId="TableGrid">
    <w:name w:val="Table Grid"/>
    <w:basedOn w:val="TableNormal"/>
    <w:uiPriority w:val="99"/>
    <w:rsid w:val="006A3C7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94122"/>
    <w:pPr>
      <w:widowControl w:val="0"/>
      <w:autoSpaceDE w:val="0"/>
      <w:autoSpaceDN w:val="0"/>
      <w:adjustRightInd w:val="0"/>
      <w:spacing w:after="0" w:line="240" w:lineRule="auto"/>
      <w:ind w:left="720" w:firstLine="709"/>
      <w:contextualSpacing/>
      <w:jc w:val="both"/>
    </w:pPr>
    <w:rPr>
      <w:rFonts w:ascii="Times New Roman" w:hAnsi="Times New Roman"/>
      <w:sz w:val="28"/>
      <w:szCs w:val="20"/>
      <w:lang w:eastAsia="en-US"/>
    </w:rPr>
  </w:style>
  <w:style w:type="paragraph" w:styleId="TOCHeading">
    <w:name w:val="TOC Heading"/>
    <w:basedOn w:val="Heading1"/>
    <w:next w:val="Normal"/>
    <w:uiPriority w:val="99"/>
    <w:qFormat/>
    <w:rsid w:val="00394122"/>
    <w:pPr>
      <w:widowControl/>
      <w:autoSpaceDE/>
      <w:autoSpaceDN/>
      <w:adjustRightInd/>
      <w:spacing w:line="276" w:lineRule="auto"/>
      <w:outlineLvl w:val="9"/>
    </w:pPr>
  </w:style>
  <w:style w:type="paragraph" w:customStyle="1" w:styleId="1">
    <w:name w:val="Обычный1"/>
    <w:link w:val="Normal0"/>
    <w:uiPriority w:val="99"/>
    <w:rsid w:val="00394122"/>
    <w:pPr>
      <w:snapToGrid w:val="0"/>
    </w:pPr>
    <w:rPr>
      <w:rFonts w:ascii="Times New Roman" w:hAnsi="Times New Roman"/>
    </w:rPr>
  </w:style>
  <w:style w:type="character" w:customStyle="1" w:styleId="Normal0">
    <w:name w:val="Normal Знак"/>
    <w:link w:val="1"/>
    <w:uiPriority w:val="99"/>
    <w:locked/>
    <w:rsid w:val="00394122"/>
    <w:rPr>
      <w:rFonts w:ascii="Times New Roman" w:hAnsi="Times New Roman"/>
      <w:sz w:val="22"/>
      <w:lang w:val="ru-RU" w:eastAsia="ru-RU"/>
    </w:rPr>
  </w:style>
  <w:style w:type="character" w:customStyle="1" w:styleId="red">
    <w:name w:val="red"/>
    <w:basedOn w:val="DefaultParagraphFont"/>
    <w:uiPriority w:val="99"/>
    <w:rsid w:val="00394122"/>
    <w:rPr>
      <w:rFonts w:cs="Times New Roman"/>
    </w:rPr>
  </w:style>
  <w:style w:type="paragraph" w:customStyle="1" w:styleId="ListParagraph1">
    <w:name w:val="List Paragraph1"/>
    <w:basedOn w:val="Normal"/>
    <w:uiPriority w:val="99"/>
    <w:rsid w:val="00394122"/>
    <w:pPr>
      <w:ind w:left="720"/>
    </w:pPr>
  </w:style>
  <w:style w:type="paragraph" w:styleId="BalloonText">
    <w:name w:val="Balloon Text"/>
    <w:basedOn w:val="Normal"/>
    <w:link w:val="BalloonTextChar"/>
    <w:uiPriority w:val="99"/>
    <w:semiHidden/>
    <w:rsid w:val="00394122"/>
    <w:pPr>
      <w:widowControl w:val="0"/>
      <w:autoSpaceDE w:val="0"/>
      <w:autoSpaceDN w:val="0"/>
      <w:adjustRightInd w:val="0"/>
      <w:spacing w:after="0" w:line="240" w:lineRule="auto"/>
      <w:ind w:firstLine="709"/>
      <w:contextualSpacing/>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394122"/>
    <w:rPr>
      <w:rFonts w:ascii="Tahoma" w:eastAsia="Times New Roman" w:hAnsi="Tahoma" w:cs="Tahoma"/>
      <w:sz w:val="16"/>
      <w:szCs w:val="16"/>
      <w:lang w:eastAsia="en-US"/>
    </w:rPr>
  </w:style>
  <w:style w:type="paragraph" w:styleId="Header">
    <w:name w:val="header"/>
    <w:basedOn w:val="Normal"/>
    <w:link w:val="HeaderChar"/>
    <w:uiPriority w:val="99"/>
    <w:rsid w:val="00482AF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82AF6"/>
    <w:rPr>
      <w:rFonts w:cs="Times New Roman"/>
    </w:rPr>
  </w:style>
  <w:style w:type="paragraph" w:styleId="Footer">
    <w:name w:val="footer"/>
    <w:basedOn w:val="Normal"/>
    <w:link w:val="FooterChar"/>
    <w:uiPriority w:val="99"/>
    <w:rsid w:val="00482AF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82A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30</Pages>
  <Words>7638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Яричина</dc:creator>
  <cp:keywords/>
  <dc:description/>
  <cp:lastModifiedBy>Байдакова</cp:lastModifiedBy>
  <cp:revision>14</cp:revision>
  <cp:lastPrinted>2015-04-15T06:15:00Z</cp:lastPrinted>
  <dcterms:created xsi:type="dcterms:W3CDTF">2015-05-17T14:16:00Z</dcterms:created>
  <dcterms:modified xsi:type="dcterms:W3CDTF">2015-06-17T09:55:00Z</dcterms:modified>
</cp:coreProperties>
</file>