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E" w:rsidRPr="00DC4590" w:rsidRDefault="00FE6A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ОБ УТВЕРЖДЕНИИ ПОЛОЖЕНИЯ О ПРОВЕДЕНИИ ГОРОДСКОГО</w:t>
      </w:r>
    </w:p>
    <w:p w:rsidR="00DC4590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5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6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7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8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9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590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0" w:history="1">
        <w:r w:rsidRPr="00DC459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hyperlink r:id="rId11" w:history="1">
        <w:r w:rsidRPr="00DC4590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2" w:history="1">
        <w:r w:rsidRPr="00DC4590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"О социальном партнерстве", </w:t>
      </w:r>
      <w:hyperlink r:id="rId13" w:history="1">
        <w:r w:rsidRPr="00DC4590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DC4590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DC4590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DC459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FE6A1E" w:rsidRPr="00DC4590" w:rsidRDefault="004E7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E6A1E" w:rsidRPr="00DC4590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FE6A1E" w:rsidRPr="00DC4590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FE6A1E" w:rsidRPr="00DC4590" w:rsidRDefault="004E7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FE6A1E" w:rsidRPr="00DC4590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FE6A1E" w:rsidRPr="00DC4590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E6A1E" w:rsidRPr="00DC4590" w:rsidRDefault="00FE6A1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C4590">
        <w:rPr>
          <w:rFonts w:ascii="Times New Roman" w:hAnsi="Times New Roman" w:cs="Times New Roman"/>
          <w:sz w:val="26"/>
          <w:szCs w:val="26"/>
        </w:rPr>
        <w:t>ПОЛОЖЕНИЕ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18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19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2. Смотр-конкурс проводится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создание безопасных условий труда, 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4. Участниками смотра-конкурса могут быть организации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 (далее - организации).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lastRenderedPageBreak/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вхождение организации в объединение работодателей, или наличие первичной профсоюзной организации, или присоединение к городскому соглашению по регулированию социально-трудовых отношений (в письменной форме),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 Положением.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III. ПОРЯДОК ПРОВЕДЕНИЯ СМОТРА-КОНКУРСА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9. Победители смотра-конкурса определяются отдельно по номинациям, соответствующим видам экономической деятельности.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10. Смотр-конкурс проводится по результатам деятельности организаций по итогам работы за предыдущий календарный год.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Сведения подаются организациями по состоянию на 31 декабря предыдущего календарного года.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11. Департамент экономической политики и инвестиционного развития администрации города не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чем за 30 дней до даты проведения смотра-конкурса размещает на официальном сайте администрации города Красноярска извещение о смотре-конкурсе и порядке его проведения.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12. Для участия в смотре-конкурсе организации после выхода извещения ежегодно до 31 марта направляют в департамент экономической политики и инвестиционного развития администрации города: заявку, информационную карту и перечень показателей участника по форме согласно приложениям 1, 2, 3 к </w:t>
      </w:r>
      <w:r w:rsidRPr="00DC4590">
        <w:rPr>
          <w:rFonts w:ascii="Times New Roman" w:hAnsi="Times New Roman" w:cs="Times New Roman"/>
          <w:sz w:val="26"/>
          <w:szCs w:val="26"/>
        </w:rPr>
        <w:lastRenderedPageBreak/>
        <w:t>настоящему Положению соответственно.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590">
        <w:rPr>
          <w:rFonts w:ascii="Times New Roman" w:hAnsi="Times New Roman" w:cs="Times New Roman"/>
          <w:sz w:val="26"/>
          <w:szCs w:val="26"/>
        </w:rPr>
        <w:t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Microsoft Office Word, pdf, jpg).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13.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Департамент экономической политики и инвестиционного развития администрации города в течение пяти дней направляет представленные организациями документы координаторам городской трехсторонней комиссии по регулированию социально-трудовых отношений для дальнейшего рассмотрения их на заседаниях рабочей группы.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15. Для оценки достоверности представленных материалов департамент экономической политики и инвестиционного развития администрации города в течение 5 рабочих дней уточняет информацию у участников смотра-конкурса или направляет соответствующие запросы в организации, территориальные федеральные органы исполнительной власти, контрольно-надзорные органы.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Организации в течение 5 рабочих дней представляют в департамент экономической политики и инвестиционного развития администрации города уточненную информацию согласно полученным запросам.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16. 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17. Итоги смотра-конкурса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подводятся рабочей группой отдельно по каждой номинации и утверждаются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решением городской трехсторонней комиссии по регулированию социально-трудовых отношений, после чего издается распоряжение администрации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18. Оценка организаций ведется на основе балльной системы в соответствии с критериями, установленными в приложении 4 к настоящему Положению.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19. Победителями признаются организации, набравшие максимальное количество баллов. При подведении итогов при равном количестве баллов учитываются дополнительные информационные материалы, представленные </w:t>
      </w:r>
      <w:r w:rsidRPr="00DC4590">
        <w:rPr>
          <w:rFonts w:ascii="Times New Roman" w:hAnsi="Times New Roman" w:cs="Times New Roman"/>
          <w:sz w:val="26"/>
          <w:szCs w:val="26"/>
        </w:rPr>
        <w:lastRenderedPageBreak/>
        <w:t>организациями.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20. Победители смотра-конкурса награждаются Дипломами Главы города за I, II, III место отдельно по каждой номинации.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 w:rsidTr="00C8190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0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</w:tr>
    </w:tbl>
    <w:p w:rsidR="00DC4590" w:rsidRDefault="00DC4590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на лучшую организацию работы в области социального партнерства и охраны труда по итогам ____ года. 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 состоянию на «_____» _____________ 20 ____ года организация не имеет задолженности по платежам, включая текущие, в бюджеты всех уровней и государственные внебюджетные фонды;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Полноту и достоверность сведений, указанных в настоящей заявке и прилагаемых к ней документах, гарантируем.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Уведомлены о том, что участники  смотра-конкурса, представившие недостоверные данные, не допускаются к участию в смотре-конкурсе или снимаются с участия в смотре-конкурсе в процессе его проведения.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"__" __________ г.</w:t>
      </w: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000F" w:rsidRPr="00DC4590" w:rsidRDefault="00C600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2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1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02.02.2016 N 57)</w:t>
            </w:r>
          </w:p>
        </w:tc>
      </w:tr>
    </w:tbl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A1E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90" w:rsidRDefault="00DC45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000F" w:rsidRPr="00DC4590" w:rsidRDefault="00C600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3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2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</w:tr>
    </w:tbl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417"/>
      </w:tblGrid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590" w:rsidRPr="00DC4590">
        <w:tc>
          <w:tcPr>
            <w:tcW w:w="9071" w:type="dxa"/>
            <w:gridSpan w:val="4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оздоровление работников (оплата путевок, проезда к месту лечения и т.д.) в расчете на одного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оздоровленного работника, тыс. руб.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организацию и поощрение победителей производственных и профессиональных конкурсов в расчете на одного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заполнение/заполнение выше установленной квоты/незаполнение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A1E"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9071" w:type="dxa"/>
            <w:gridSpan w:val="4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несчастных случаев на производстве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 расчете на 1000 работающих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FE6A1E" w:rsidRPr="00DC4590" w:rsidRDefault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мероприятий по </w:t>
            </w:r>
            <w:r w:rsidRPr="004E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оценке условий труда с целью 100% охвата рабочих мест</w:t>
            </w:r>
            <w:r w:rsidR="00E618B7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приложения к коллективному договору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4590" w:rsidRPr="00DC4590" w:rsidTr="00EE6EE4">
        <w:tc>
          <w:tcPr>
            <w:tcW w:w="4785" w:type="dxa"/>
          </w:tcPr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</w:tr>
    </w:tbl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_______________________     </w:t>
      </w:r>
      <w:r w:rsidR="00EE6EE4" w:rsidRPr="00DC459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C4590">
        <w:rPr>
          <w:rFonts w:ascii="Times New Roman" w:hAnsi="Times New Roman" w:cs="Times New Roman"/>
          <w:sz w:val="26"/>
          <w:szCs w:val="26"/>
        </w:rPr>
        <w:t xml:space="preserve">     _____________________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(подпись, печать)               </w:t>
      </w:r>
      <w:r w:rsidR="00EE6EE4" w:rsidRPr="00DC45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C4590">
        <w:rPr>
          <w:rFonts w:ascii="Times New Roman" w:hAnsi="Times New Roman" w:cs="Times New Roman"/>
          <w:sz w:val="26"/>
          <w:szCs w:val="26"/>
        </w:rPr>
        <w:t>(подпись, печать)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bookmarkEnd w:id="1"/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lastRenderedPageBreak/>
        <w:t>Приложение 4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3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24.11.2020 N 930)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4025"/>
      </w:tblGrid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4590" w:rsidRPr="00DC4590">
        <w:tc>
          <w:tcPr>
            <w:tcW w:w="9071" w:type="dxa"/>
            <w:gridSpan w:val="3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(да/нет)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не зарегистрирован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 (указать объединения)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величины по виду экономической деятельности - + 5 (отклонение в пределах 15% от величины по виду экономической деятельности);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ниже величины по виду экономической деятельности,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но выше МРОТ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получающих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заработную плату: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 соответствии с уровнем инфляции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спортивные и культурно-массовые мероприятия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организацию и поощрение победителей производственных и профессиональных конкурсов в расчете на одного победителя,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незаполнение квоты - - 2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 (с приложением краткого описания каждой программы):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  <w:proofErr w:type="gramEnd"/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 по распространению передового опыта (с приложением краткого описания каждого мероприятия):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9071" w:type="dxa"/>
            <w:gridSpan w:val="3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смертельных несчастных случаев - - 10;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 в отчетный период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проведению медицинских осмотров сотрудников в отчетном периоде в соответствии с требованиями действующего законодательства за счет средств работодателя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FE6A1E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E6A1E" w:rsidRPr="00DC4590" w:rsidSect="00C819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1E"/>
    <w:rsid w:val="00241F58"/>
    <w:rsid w:val="00322236"/>
    <w:rsid w:val="00343081"/>
    <w:rsid w:val="004101A3"/>
    <w:rsid w:val="004E7F76"/>
    <w:rsid w:val="00C6000F"/>
    <w:rsid w:val="00C8190F"/>
    <w:rsid w:val="00CA3B9B"/>
    <w:rsid w:val="00DC4590"/>
    <w:rsid w:val="00E618B7"/>
    <w:rsid w:val="00EE6EE4"/>
    <w:rsid w:val="00EF27E9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98EF7324E11A180651726B64929D5750DF895C9D16175EF1FBE6E58E71E28B3DECF595C2D76F318F67C6323C5C35510974E77D879CBD6ACF8C310FN1F" TargetMode="External"/><Relationship Id="rId13" Type="http://schemas.openxmlformats.org/officeDocument/2006/relationships/hyperlink" Target="consultantplus://offline/ref=73C598EF7324E11A180651726B64929D5750DF895C9A151250F3FBE6E58E71E28B3DECF595C2D76F318F64C33F3C5C35510974E77D879CBD6ACF8C310FN1F" TargetMode="External"/><Relationship Id="rId18" Type="http://schemas.openxmlformats.org/officeDocument/2006/relationships/hyperlink" Target="consultantplus://offline/ref=73C598EF7324E11A180651726B64929D5750DF895C9D16175EF1FBE6E58E71E28B3DECF595C2D76F318F67C6323C5C35510974E77D879CBD6ACF8C310FN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C598EF7324E11A180651726B64929D5750DF895F98171C5FF4FBE6E58E71E28B3DECF595C2D76F318F67C6323C5C35510974E77D879CBD6ACF8C310FN1F" TargetMode="External"/><Relationship Id="rId7" Type="http://schemas.openxmlformats.org/officeDocument/2006/relationships/hyperlink" Target="consultantplus://offline/ref=73C598EF7324E11A180651726B64929D5750DF895C9F10145CF6FBE6E58E71E28B3DECF595C2D76F318F67C6323C5C35510974E77D879CBD6ACF8C310FN1F" TargetMode="External"/><Relationship Id="rId12" Type="http://schemas.openxmlformats.org/officeDocument/2006/relationships/hyperlink" Target="consultantplus://offline/ref=73C598EF7324E11A180651726B64929D5750DF895F9D17135EF7FBE6E58E71E28B3DECF587C28F63338D79C735290A641705NCF" TargetMode="External"/><Relationship Id="rId17" Type="http://schemas.openxmlformats.org/officeDocument/2006/relationships/hyperlink" Target="consultantplus://offline/ref=73C598EF7324E11A180651726B64929D5750DF895A97111C5FFAA6ECEDD77DE08C32B3F092D3D76C339166C42935086601N5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C598EF7324E11A180651726B64929D5750DF895A97171650FAA6ECEDD77DE08C32B3F092D3D76C339166C42935086601N5F" TargetMode="External"/><Relationship Id="rId20" Type="http://schemas.openxmlformats.org/officeDocument/2006/relationships/hyperlink" Target="consultantplus://offline/ref=73C598EF7324E11A180651726B64929D5750DF895C9D16175EF1FBE6E58E71E28B3DECF595C2D76F318F67C23E3C5C35510974E77D879CBD6ACF8C310F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98EF7324E11A180651726B64929D5750DF895F98171C5FF4FBE6E58E71E28B3DECF595C2D76F318F67C6323C5C35510974E77D879CBD6ACF8C310FN1F" TargetMode="External"/><Relationship Id="rId11" Type="http://schemas.openxmlformats.org/officeDocument/2006/relationships/hyperlink" Target="consultantplus://offline/ref=73C598EF7324E11A180651726B64929D5750DF895F9F101C5CF7FBE6E58E71E28B3DECF587C28F63338D79C735290A641705NC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C598EF7324E11A180651726B64929D5750DF895F9D191251F8FBE6E58E71E28B3DECF595C2D76F318F67C6323C5C35510974E77D879CBD6ACF8C310FN1F" TargetMode="External"/><Relationship Id="rId15" Type="http://schemas.openxmlformats.org/officeDocument/2006/relationships/hyperlink" Target="consultantplus://offline/ref=73C598EF7324E11A180651726B64929D5750DF895C9A151250F3FBE6E58E71E28B3DECF595C2D76F318F63CE373C5C35510974E77D879CBD6ACF8C310FN1F" TargetMode="External"/><Relationship Id="rId23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10" Type="http://schemas.openxmlformats.org/officeDocument/2006/relationships/hyperlink" Target="consultantplus://offline/ref=73C598EF7324E11A18064F7F7D08CD92575D86875E9F1B4305A5FDB1BADE77B7D97DB2ACD484C46F339165C63503N7F" TargetMode="External"/><Relationship Id="rId19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14" Type="http://schemas.openxmlformats.org/officeDocument/2006/relationships/hyperlink" Target="consultantplus://offline/ref=73C598EF7324E11A180651726B64929D5750DF895C9A151250F3FBE6E58E71E28B3DECF595C2D76F318C6C9266735D69175E67E47D879FBF760CNDF" TargetMode="External"/><Relationship Id="rId22" Type="http://schemas.openxmlformats.org/officeDocument/2006/relationships/hyperlink" Target="consultantplus://offline/ref=73C598EF7324E11A180651726B64929D5750DF895C9D16175EF1FBE6E58E71E28B3DECF595C2D76F318F67C3363C5C35510974E77D879CBD6ACF8C310F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Ермаковоа Любовь Юрьевна</dc:creator>
  <cp:lastModifiedBy>Ермаковоа Любовь Юрьевна</cp:lastModifiedBy>
  <cp:revision>2</cp:revision>
  <cp:lastPrinted>2021-01-27T04:43:00Z</cp:lastPrinted>
  <dcterms:created xsi:type="dcterms:W3CDTF">2021-01-27T05:23:00Z</dcterms:created>
  <dcterms:modified xsi:type="dcterms:W3CDTF">2021-01-27T05:23:00Z</dcterms:modified>
</cp:coreProperties>
</file>